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spacing w:before="480" w:after="480" w:line="288" w:lineRule="auto"/>
        <w:ind w:left="0"/>
        <w:jc w:val="left"/>
        <w:rPr/>
      </w:pPr>
      <w:r>
        <w:rPr>
          <w:rFonts w:ascii="Arial" w:hAnsi="Arial" w:eastAsia="等线" w:cs="Arial"/>
          <w:b/>
          <w:sz w:val="52"/>
        </w:rPr>
        <w:t>工业三维扫描仪（免贴点）技术要求</w:t>
      </w:r>
    </w:p>
    <w:p>
      <w:pPr>
        <w:pStyle w:val="0000c5"/>
        <w:spacing w:before="380" w:after="140" w:line="288" w:lineRule="auto"/>
        <w:ind w:left="0"/>
        <w:jc w:val="left"/>
        <w:outlineLvl w:val="0"/>
        <w:rPr/>
      </w:pPr>
      <w:bookmarkStart w:id="1" w:name="heading_0"/>
      <w:r>
        <w:rPr>
          <w:rFonts w:ascii="Arial" w:hAnsi="Arial" w:eastAsia="等线" w:cs="Arial"/>
          <w:color w:val="3370ff"/>
          <w:sz w:val="36"/>
        </w:rPr>
        <w:t xml:space="preserve">1. </w:t>
      </w:r>
      <w:r>
        <w:rPr>
          <w:rFonts w:ascii="Arial" w:hAnsi="Arial" w:eastAsia="等线" w:cs="Arial"/>
          <w:b/>
          <w:sz w:val="36"/>
        </w:rPr>
        <w:t>总则</w:t>
      </w:r>
      <w:bookmarkEnd w:id="1"/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2" w:name="heading_1"/>
      <w:r>
        <w:rPr>
          <w:rFonts w:ascii="Arial" w:hAnsi="Arial" w:eastAsia="等线" w:cs="Arial"/>
          <w:color w:val="3370ff"/>
          <w:sz w:val="32"/>
        </w:rPr>
        <w:t xml:space="preserve">1.1 </w:t>
      </w:r>
      <w:r>
        <w:rPr>
          <w:rFonts w:ascii="Arial" w:hAnsi="Arial" w:eastAsia="等线" w:cs="Arial"/>
          <w:b/>
          <w:sz w:val="32"/>
        </w:rPr>
        <w:t>目的</w:t>
      </w:r>
      <w:bookmarkEnd w:id="2"/>
    </w:p>
    <w:p>
      <w:pPr>
        <w:spacing w:before="120" w:after="120" w:line="288" w:lineRule="auto"/>
        <w:ind w:left="0"/>
        <w:jc w:val="left"/>
        <w:rPr/>
      </w:pPr>
      <w:r>
        <w:rPr>
          <w:rFonts w:ascii="Arial" w:hAnsi="Arial" w:eastAsia="等线" w:cs="Arial"/>
          <w:sz w:val="22"/>
        </w:rPr>
        <w:t>本技术要求（Statement of Requirements，以下简称"SOR"）规定了采购免贴点工业三维扫描仪的技术指标、功能要求、验收标准及服务要求，作为供应商选型、技术评审、合同签订及到货验收的依据。</w:t>
      </w:r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3" w:name="heading_2"/>
      <w:r>
        <w:rPr>
          <w:rFonts w:ascii="Arial" w:hAnsi="Arial" w:eastAsia="等线" w:cs="Arial"/>
          <w:color w:val="3370ff"/>
          <w:sz w:val="32"/>
        </w:rPr>
        <w:t xml:space="preserve">1.2 </w:t>
      </w:r>
      <w:r>
        <w:rPr>
          <w:rFonts w:ascii="Arial" w:hAnsi="Arial" w:eastAsia="等线" w:cs="Arial"/>
          <w:b/>
          <w:sz w:val="32"/>
        </w:rPr>
        <w:t>适用范围</w:t>
      </w:r>
      <w:bookmarkEnd w:id="3"/>
    </w:p>
    <w:p>
      <w:pPr>
        <w:spacing w:before="120" w:after="120" w:line="288" w:lineRule="auto"/>
        <w:ind w:left="0"/>
        <w:jc w:val="left"/>
        <w:rPr/>
      </w:pPr>
      <w:r>
        <w:rPr>
          <w:rFonts w:ascii="Arial" w:hAnsi="Arial" w:eastAsia="等线" w:cs="Arial"/>
          <w:sz w:val="22"/>
        </w:rPr>
        <w:t>本SOR适用于手持式或跟踪式工业级三维激光扫描仪的采购，设备须具备免贴点（Marker-free）扫描能力，可用于工业产品三维检测、逆向工程、质量控制及尺寸测量等场景。</w:t>
      </w:r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4" w:name="heading_3"/>
      <w:r>
        <w:rPr>
          <w:rFonts w:ascii="Arial" w:hAnsi="Arial" w:eastAsia="等线" w:cs="Arial"/>
          <w:color w:val="3370ff"/>
          <w:sz w:val="32"/>
        </w:rPr>
        <w:t xml:space="preserve">1.3 </w:t>
      </w:r>
      <w:r>
        <w:rPr>
          <w:rFonts w:ascii="Arial" w:hAnsi="Arial" w:eastAsia="等线" w:cs="Arial"/>
          <w:b/>
          <w:sz w:val="32"/>
        </w:rPr>
        <w:t>术语与定义</w:t>
      </w:r>
      <w:bookmarkEnd w:id="4"/>
    </w:p>
    <w:tbl>
      <w:tblPr>
        <w:tblW w:w="0" w:type="auto"/>
        <w:tblInd w:w="0" w:type="dxa"/>
        <w:tblBorders>
          <w:top w:val="single" w:color="CBCDD1" w:sz="6"/>
          <w:left w:val="single" w:color="CBCDD1" w:sz="6"/>
          <w:bottom w:val="single" w:color="CBCDD1" w:sz="6"/>
          <w:right w:val="single" w:color="CBCDD1" w:sz="6"/>
          <w:insideH w:val="single" w:color="CBCDD1" w:sz="6"/>
          <w:insideV w:val="single" w:color="CBCDD1" w:sz="6"/>
        </w:tblBorders>
        <w:tblLayout w:type="fixed"/>
      </w:tblPr>
      <w:tblGrid>
        <w:gridCol w:w="1395"/>
        <w:gridCol w:w="13950"/>
      </w:tblGrid>
      <w:tr>
        <w:trPr/>
        <w:tc>
          <w:tcPr>
            <w:tcW w:w="13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术语</w:t>
            </w:r>
          </w:p>
        </w:tc>
        <w:tc>
          <w:tcPr>
            <w:tcW w:w="139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定义</w:t>
            </w:r>
          </w:p>
        </w:tc>
      </w:tr>
      <w:tr>
        <w:trPr/>
        <w:tc>
          <w:tcPr>
            <w:tcW w:w="13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免贴点扫描</w:t>
            </w:r>
          </w:p>
        </w:tc>
        <w:tc>
          <w:tcPr>
            <w:tcW w:w="139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无需在被测物体表面粘贴标记点（Target/Marker），通过光学跟踪、结构光或物体特征识别实现扫描仪空间自定位的扫描模式。</w:t>
            </w:r>
          </w:p>
        </w:tc>
      </w:tr>
      <w:tr>
        <w:trPr/>
        <w:tc>
          <w:tcPr>
            <w:tcW w:w="13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单帧精度</w:t>
            </w:r>
          </w:p>
        </w:tc>
        <w:tc>
          <w:tcPr>
            <w:tcW w:w="139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扫描仪在单次扫描帧内对标准量规的测量偏差，反映局部测量准确度。</w:t>
            </w:r>
          </w:p>
        </w:tc>
      </w:tr>
      <w:tr>
        <w:trPr/>
        <w:tc>
          <w:tcPr>
            <w:tcW w:w="13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体积精度</w:t>
            </w:r>
          </w:p>
        </w:tc>
        <w:tc>
          <w:tcPr>
            <w:tcW w:w="139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在指定测量体积范围内，扫描仪对标准球棒或球板的测量偏差，通常表示为 A + B×L（mm），其中 L 为测量长度（m）。</w:t>
            </w:r>
          </w:p>
        </w:tc>
      </w:tr>
      <w:tr>
        <w:trPr/>
        <w:tc>
          <w:tcPr>
            <w:tcW w:w="13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分辨率</w:t>
            </w:r>
          </w:p>
        </w:tc>
        <w:tc>
          <w:tcPr>
            <w:tcW w:w="139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扫描点云中相邻两点的最小可分辨距离，反映设备捕捉细节的能力。</w:t>
            </w:r>
          </w:p>
        </w:tc>
      </w:tr>
      <w:tr>
        <w:trPr/>
        <w:tc>
          <w:tcPr>
            <w:tcW w:w="13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扫描速率</w:t>
            </w:r>
          </w:p>
        </w:tc>
        <w:tc>
          <w:tcPr>
            <w:tcW w:w="139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单位时间内扫描仪采集的测量点数量，单位为点/秒（points/s）或次测量/秒。</w:t>
            </w:r>
          </w:p>
        </w:tc>
      </w:tr>
      <w:tr>
        <w:trPr/>
        <w:tc>
          <w:tcPr>
            <w:tcW w:w="13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视场</w:t>
            </w:r>
          </w:p>
        </w:tc>
        <w:tc>
          <w:tcPr>
            <w:tcW w:w="139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扫描仪在标称工作距离下的有效扫描区域范围。</w:t>
            </w:r>
          </w:p>
        </w:tc>
      </w:tr>
    </w:tbl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5" w:name="heading_4"/>
      <w:r>
        <w:rPr>
          <w:rFonts w:ascii="Arial" w:hAnsi="Arial" w:eastAsia="等线" w:cs="Arial"/>
          <w:color w:val="3370ff"/>
          <w:sz w:val="32"/>
        </w:rPr>
        <w:t xml:space="preserve">1.4 </w:t>
      </w:r>
      <w:r>
        <w:rPr>
          <w:rFonts w:ascii="Arial" w:hAnsi="Arial" w:eastAsia="等线" w:cs="Arial"/>
          <w:b/>
          <w:sz w:val="32"/>
        </w:rPr>
        <w:t>引用标准</w:t>
      </w:r>
      <w:bookmarkEnd w:id="5"/>
    </w:p>
    <w:p>
      <w:pPr>
        <w:numPr>
          <w:ilvl w:val="0"/>
          <w:numId w:val="1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VDI/VDE 2634 光学三维测量系统验收检测标准</w:t>
      </w:r>
    </w:p>
    <w:p>
      <w:pPr>
        <w:numPr>
          <w:ilvl w:val="0"/>
          <w:numId w:val="1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ISO 10360-13 几何产品规范（GPS）—坐标测量系统的验收和复检检测 第13部分：光学三维测量系统</w:t>
      </w:r>
    </w:p>
    <w:p>
      <w:pPr>
        <w:numPr>
          <w:ilvl w:val="0"/>
          <w:numId w:val="1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IEC 60825-1 激光产品安全 第1部分：设备分类和要求</w:t>
      </w:r>
    </w:p>
    <w:p>
      <w:pPr>
        <w:numPr>
          <w:ilvl w:val="0"/>
          <w:numId w:val="1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ISO/IEC 17025 检测和校准实验室能力的通用要求</w:t>
      </w:r>
    </w:p>
    <w:p>
      <w:pPr>
        <w:numPr>
          <w:ilvl w:val="0"/>
          <w:numId w:val="1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GB/T 191 包装储运图示标志</w:t>
      </w:r>
    </w:p>
    <w:p>
      <w:pPr>
        <w:pStyle w:val="0000c5"/>
        <w:spacing w:before="380" w:after="140" w:line="288" w:lineRule="auto"/>
        <w:ind w:left="0"/>
        <w:jc w:val="left"/>
        <w:outlineLvl w:val="0"/>
        <w:rPr/>
      </w:pPr>
      <w:bookmarkStart w:id="6" w:name="heading_5"/>
      <w:r>
        <w:rPr>
          <w:rFonts w:ascii="Arial" w:hAnsi="Arial" w:eastAsia="等线" w:cs="Arial"/>
          <w:color w:val="3370ff"/>
          <w:sz w:val="36"/>
        </w:rPr>
        <w:t xml:space="preserve">2. </w:t>
      </w:r>
      <w:r>
        <w:rPr>
          <w:rFonts w:ascii="Arial" w:hAnsi="Arial" w:eastAsia="等线" w:cs="Arial"/>
          <w:b/>
          <w:sz w:val="36"/>
        </w:rPr>
        <w:t>采购标的描述</w:t>
      </w:r>
      <w:bookmarkEnd w:id="6"/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7" w:name="heading_6"/>
      <w:r>
        <w:rPr>
          <w:rFonts w:ascii="Arial" w:hAnsi="Arial" w:eastAsia="等线" w:cs="Arial"/>
          <w:color w:val="3370ff"/>
          <w:sz w:val="32"/>
        </w:rPr>
        <w:t xml:space="preserve">2.1 </w:t>
      </w:r>
      <w:r>
        <w:rPr>
          <w:rFonts w:ascii="Arial" w:hAnsi="Arial" w:eastAsia="等线" w:cs="Arial"/>
          <w:b/>
          <w:sz w:val="32"/>
        </w:rPr>
        <w:t>设备名称</w:t>
      </w:r>
      <w:bookmarkEnd w:id="7"/>
    </w:p>
    <w:p>
      <w:pPr>
        <w:spacing w:before="120" w:after="120" w:line="288" w:lineRule="auto"/>
        <w:ind w:left="0"/>
        <w:jc w:val="left"/>
        <w:rPr/>
      </w:pPr>
      <w:r>
        <w:rPr>
          <w:rFonts w:ascii="Arial" w:hAnsi="Arial" w:eastAsia="等线" w:cs="Arial"/>
          <w:sz w:val="22"/>
        </w:rPr>
        <w:t>免贴点工业级三维激光扫描仪（含主机、配套软件、校准器具及标准附件）。</w:t>
      </w:r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8" w:name="heading_7"/>
      <w:r>
        <w:rPr>
          <w:rFonts w:ascii="Arial" w:hAnsi="Arial" w:eastAsia="等线" w:cs="Arial"/>
          <w:color w:val="3370ff"/>
          <w:sz w:val="32"/>
        </w:rPr>
        <w:t xml:space="preserve">2.2 </w:t>
      </w:r>
      <w:r>
        <w:rPr>
          <w:rFonts w:ascii="Arial" w:hAnsi="Arial" w:eastAsia="等线" w:cs="Arial"/>
          <w:b/>
          <w:sz w:val="32"/>
        </w:rPr>
        <w:t>主要用途</w:t>
      </w:r>
      <w:bookmarkEnd w:id="8"/>
    </w:p>
    <w:p>
      <w:pPr>
        <w:numPr>
          <w:ilvl w:val="0"/>
          <w:numId w:val="2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工业零部件及整车/整机的三维尺寸检测与质量控制</w:t>
      </w:r>
    </w:p>
    <w:p>
      <w:pPr>
        <w:numPr>
          <w:ilvl w:val="0"/>
          <w:numId w:val="2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产品逆向工程与三维数字化建模</w:t>
      </w:r>
    </w:p>
    <w:p>
      <w:pPr>
        <w:numPr>
          <w:ilvl w:val="0"/>
          <w:numId w:val="2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工装夹具、模具的磨损检测与修复验证</w:t>
      </w:r>
    </w:p>
    <w:p>
      <w:pPr>
        <w:numPr>
          <w:ilvl w:val="0"/>
          <w:numId w:val="2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研发样件的尺寸比对与形位公差分析</w:t>
      </w:r>
    </w:p>
    <w:p>
      <w:pPr>
        <w:numPr>
          <w:ilvl w:val="0"/>
          <w:numId w:val="2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现场及生产线在线测量</w:t>
      </w:r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9" w:name="heading_8"/>
      <w:r>
        <w:rPr>
          <w:rFonts w:ascii="Arial" w:hAnsi="Arial" w:eastAsia="等线" w:cs="Arial"/>
          <w:color w:val="3370ff"/>
          <w:sz w:val="32"/>
        </w:rPr>
        <w:t xml:space="preserve">2.3 </w:t>
      </w:r>
      <w:r>
        <w:rPr>
          <w:rFonts w:ascii="Arial" w:hAnsi="Arial" w:eastAsia="等线" w:cs="Arial"/>
          <w:b/>
          <w:sz w:val="32"/>
        </w:rPr>
        <w:t>工作场景</w:t>
      </w:r>
      <w:bookmarkEnd w:id="9"/>
    </w:p>
    <w:p>
      <w:pPr>
        <w:spacing w:before="120" w:after="120" w:line="288" w:lineRule="auto"/>
        <w:ind w:left="0"/>
        <w:jc w:val="left"/>
        <w:rPr/>
      </w:pPr>
      <w:r>
        <w:rPr>
          <w:rFonts w:ascii="Arial" w:hAnsi="Arial" w:eastAsia="等线" w:cs="Arial"/>
          <w:sz w:val="22"/>
        </w:rPr>
        <w:t>设备须适用于车间现场、计量室及户外等多种环境，支持对中小型至大型工件（尺寸范围 50 mm 至 5 m）进行扫描测量。</w:t>
      </w:r>
    </w:p>
    <w:p>
      <w:pPr>
        <w:pStyle w:val="0000c5"/>
        <w:spacing w:before="380" w:after="140" w:line="288" w:lineRule="auto"/>
        <w:ind w:left="0"/>
        <w:jc w:val="left"/>
        <w:outlineLvl w:val="0"/>
        <w:rPr/>
      </w:pPr>
      <w:bookmarkStart w:id="10" w:name="heading_9"/>
      <w:r>
        <w:rPr>
          <w:rFonts w:ascii="Arial" w:hAnsi="Arial" w:eastAsia="等线" w:cs="Arial"/>
          <w:color w:val="3370ff"/>
          <w:sz w:val="36"/>
        </w:rPr>
        <w:t xml:space="preserve">3. </w:t>
      </w:r>
      <w:r>
        <w:rPr>
          <w:rFonts w:ascii="Arial" w:hAnsi="Arial" w:eastAsia="等线" w:cs="Arial"/>
          <w:b/>
          <w:sz w:val="36"/>
        </w:rPr>
        <w:t>核心技术参数要求</w:t>
      </w:r>
      <w:bookmarkEnd w:id="10"/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11" w:name="heading_10"/>
      <w:r>
        <w:rPr>
          <w:rFonts w:ascii="Arial" w:hAnsi="Arial" w:eastAsia="等线" w:cs="Arial"/>
          <w:color w:val="3370ff"/>
          <w:sz w:val="32"/>
        </w:rPr>
        <w:t xml:space="preserve">3.1 </w:t>
      </w:r>
      <w:r>
        <w:rPr>
          <w:rFonts w:ascii="Arial" w:hAnsi="Arial" w:eastAsia="等线" w:cs="Arial"/>
          <w:b/>
          <w:sz w:val="32"/>
        </w:rPr>
        <w:t>精度指标</w:t>
      </w:r>
      <w:bookmarkEnd w:id="11"/>
    </w:p>
    <w:tbl>
      <w:tblPr>
        <w:tblW w:w="0" w:type="auto"/>
        <w:tblInd w:w="0" w:type="dxa"/>
        <w:tblBorders>
          <w:top w:val="single" w:color="CBCDD1" w:sz="6"/>
          <w:left w:val="single" w:color="CBCDD1" w:sz="6"/>
          <w:bottom w:val="single" w:color="CBCDD1" w:sz="6"/>
          <w:right w:val="single" w:color="CBCDD1" w:sz="6"/>
          <w:insideH w:val="single" w:color="CBCDD1" w:sz="6"/>
          <w:insideV w:val="single" w:color="CBCDD1" w:sz="6"/>
        </w:tblBorders>
        <w:tblLayout w:type="fixed"/>
      </w:tblPr>
      <w:tblGrid>
        <w:gridCol w:w="5717"/>
        <w:gridCol w:w="3667"/>
        <w:gridCol w:w="2627"/>
        <w:gridCol w:w="3926"/>
      </w:tblGrid>
      <w:tr>
        <w:trPr>
          <w:trHeight w:val="522" w:hRule="atLeast"/>
        </w:trPr>
        <w:tc>
          <w:tcPr>
            <w:tcW w:w="57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参数项</w:t>
            </w:r>
          </w:p>
        </w:tc>
        <w:tc>
          <w:tcPr>
            <w:tcW w:w="36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要求值</w:t>
            </w:r>
          </w:p>
        </w:tc>
        <w:tc>
          <w:tcPr>
            <w:tcW w:w="262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要求级别</w:t>
            </w:r>
          </w:p>
        </w:tc>
        <w:tc>
          <w:tcPr>
            <w:tcW w:w="39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>
        <w:trPr>
          <w:trHeight w:val="528" w:hRule="atLeast"/>
        </w:trPr>
        <w:tc>
          <w:tcPr>
            <w:tcW w:w="57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单帧精度（最高精度模式）</w:t>
            </w:r>
          </w:p>
        </w:tc>
        <w:tc>
          <w:tcPr>
            <w:tcW w:w="36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≤ 0.030 mm</w:t>
            </w:r>
          </w:p>
        </w:tc>
        <w:tc>
          <w:tcPr>
            <w:tcW w:w="262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39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基于标准球棒或球板标定</w:t>
            </w:r>
          </w:p>
        </w:tc>
      </w:tr>
      <w:tr>
        <w:trPr>
          <w:trHeight w:val="528" w:hRule="atLeast"/>
        </w:trPr>
        <w:tc>
          <w:tcPr>
            <w:tcW w:w="57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体积精度</w:t>
            </w:r>
          </w:p>
        </w:tc>
        <w:tc>
          <w:tcPr>
            <w:tcW w:w="36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≤ 0.020 mm + 0.040 mm/m</w:t>
            </w:r>
          </w:p>
        </w:tc>
        <w:tc>
          <w:tcPr>
            <w:tcW w:w="262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39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在标称最大测量体积内验证</w:t>
            </w:r>
          </w:p>
        </w:tc>
      </w:tr>
      <w:tr>
        <w:trPr>
          <w:trHeight w:val="522" w:hRule="atLeast"/>
        </w:trPr>
        <w:tc>
          <w:tcPr>
            <w:tcW w:w="57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分辨率（最高细节模式）</w:t>
            </w:r>
          </w:p>
        </w:tc>
        <w:tc>
          <w:tcPr>
            <w:tcW w:w="36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≤ 0.020 mm</w:t>
            </w:r>
          </w:p>
        </w:tc>
        <w:tc>
          <w:tcPr>
            <w:tcW w:w="262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39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点云最小点间距</w:t>
            </w:r>
          </w:p>
        </w:tc>
      </w:tr>
      <w:tr>
        <w:trPr>
          <w:trHeight w:val="528" w:hRule="atLeast"/>
        </w:trPr>
        <w:tc>
          <w:tcPr>
            <w:tcW w:w="57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重复性</w:t>
            </w:r>
          </w:p>
        </w:tc>
        <w:tc>
          <w:tcPr>
            <w:tcW w:w="36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≤ 0.015 mm</w:t>
            </w:r>
          </w:p>
        </w:tc>
        <w:tc>
          <w:tcPr>
            <w:tcW w:w="262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39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同一点重复测量标准差</w:t>
            </w:r>
          </w:p>
        </w:tc>
      </w:tr>
    </w:tbl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12" w:name="heading_11"/>
      <w:r>
        <w:rPr>
          <w:rFonts w:ascii="Arial" w:hAnsi="Arial" w:eastAsia="等线" w:cs="Arial"/>
          <w:color w:val="3370ff"/>
          <w:sz w:val="32"/>
        </w:rPr>
        <w:t xml:space="preserve">3.2 </w:t>
      </w:r>
      <w:r>
        <w:rPr>
          <w:rFonts w:ascii="Arial" w:hAnsi="Arial" w:eastAsia="等线" w:cs="Arial"/>
          <w:b/>
          <w:sz w:val="32"/>
        </w:rPr>
        <w:t>扫描性能</w:t>
      </w:r>
      <w:bookmarkEnd w:id="12"/>
    </w:p>
    <w:tbl>
      <w:tblPr>
        <w:tblW w:w="0" w:type="auto"/>
        <w:tblInd w:w="0" w:type="dxa"/>
        <w:tblBorders>
          <w:top w:val="single" w:color="CBCDD1" w:sz="6"/>
          <w:left w:val="single" w:color="CBCDD1" w:sz="6"/>
          <w:bottom w:val="single" w:color="CBCDD1" w:sz="6"/>
          <w:right w:val="single" w:color="CBCDD1" w:sz="6"/>
          <w:insideH w:val="single" w:color="CBCDD1" w:sz="6"/>
          <w:insideV w:val="single" w:color="CBCDD1" w:sz="6"/>
        </w:tblBorders>
        <w:tblLayout w:type="fixed"/>
      </w:tblPr>
      <w:tblGrid>
        <w:gridCol w:w="4124"/>
        <w:gridCol w:w="3762"/>
        <w:gridCol w:w="1867"/>
        <w:gridCol w:w="5629"/>
      </w:tblGrid>
      <w:tr>
        <w:trPr>
          <w:trHeight w:val="563" w:hRule="atLeast"/>
        </w:trPr>
        <w:tc>
          <w:tcPr>
            <w:tcW w:w="41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参数项</w:t>
            </w:r>
          </w:p>
        </w:tc>
        <w:tc>
          <w:tcPr>
            <w:tcW w:w="37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要求值</w:t>
            </w:r>
          </w:p>
        </w:tc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要求级别</w:t>
            </w:r>
          </w:p>
        </w:tc>
        <w:tc>
          <w:tcPr>
            <w:tcW w:w="56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>
        <w:trPr>
          <w:trHeight w:val="501" w:hRule="atLeast"/>
        </w:trPr>
        <w:tc>
          <w:tcPr>
            <w:tcW w:w="41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最大扫描速率</w:t>
            </w:r>
          </w:p>
        </w:tc>
        <w:tc>
          <w:tcPr>
            <w:tcW w:w="37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≥ 1,000,000 点/秒</w:t>
            </w:r>
          </w:p>
        </w:tc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56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多线激光模式下</w:t>
            </w:r>
          </w:p>
        </w:tc>
      </w:tr>
      <w:tr>
        <w:trPr>
          <w:trHeight w:val="563" w:hRule="atLeast"/>
        </w:trPr>
        <w:tc>
          <w:tcPr>
            <w:tcW w:w="41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激光线数量（标准模式）</w:t>
            </w:r>
          </w:p>
        </w:tc>
        <w:tc>
          <w:tcPr>
            <w:tcW w:w="37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≥ 14 束</w:t>
            </w:r>
          </w:p>
        </w:tc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56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交叉线或平行线配置</w:t>
            </w:r>
          </w:p>
        </w:tc>
      </w:tr>
      <w:tr>
        <w:trPr>
          <w:trHeight w:val="563" w:hRule="atLeast"/>
        </w:trPr>
        <w:tc>
          <w:tcPr>
            <w:tcW w:w="41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精细扫描模式</w:t>
            </w:r>
          </w:p>
        </w:tc>
        <w:tc>
          <w:tcPr>
            <w:tcW w:w="37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支持，≥ 7 束平行激光线</w:t>
            </w:r>
          </w:p>
        </w:tc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56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用于高细节区域</w:t>
            </w:r>
          </w:p>
        </w:tc>
      </w:tr>
      <w:tr>
        <w:trPr>
          <w:trHeight w:val="501" w:hRule="atLeast"/>
        </w:trPr>
        <w:tc>
          <w:tcPr>
            <w:tcW w:w="41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单束深孔扫描模式</w:t>
            </w:r>
          </w:p>
        </w:tc>
        <w:tc>
          <w:tcPr>
            <w:tcW w:w="37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支持</w:t>
            </w:r>
          </w:p>
        </w:tc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56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用于深腔、沟槽等难达区域</w:t>
            </w:r>
          </w:p>
        </w:tc>
      </w:tr>
      <w:tr>
        <w:trPr>
          <w:trHeight w:val="563" w:hRule="atLeast"/>
        </w:trPr>
        <w:tc>
          <w:tcPr>
            <w:tcW w:w="41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标称工作距离</w:t>
            </w:r>
          </w:p>
        </w:tc>
        <w:tc>
          <w:tcPr>
            <w:tcW w:w="37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200 mm ～ 400 mm</w:t>
            </w:r>
          </w:p>
        </w:tc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56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不同模式可对应不同工作距离</w:t>
            </w:r>
          </w:p>
        </w:tc>
      </w:tr>
      <w:tr>
        <w:trPr>
          <w:trHeight w:val="509" w:hRule="atLeast"/>
        </w:trPr>
        <w:tc>
          <w:tcPr>
            <w:tcW w:w="41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最大视场（FOV）</w:t>
            </w:r>
          </w:p>
        </w:tc>
        <w:tc>
          <w:tcPr>
            <w:tcW w:w="37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≥ 500 mm × 450 mm</w:t>
            </w:r>
          </w:p>
        </w:tc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推荐</w:t>
            </w:r>
          </w:p>
        </w:tc>
        <w:tc>
          <w:tcPr>
            <w:tcW w:w="56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在标称工作距离处</w:t>
            </w:r>
          </w:p>
        </w:tc>
      </w:tr>
      <w:tr>
        <w:trPr>
          <w:trHeight w:val="501" w:hRule="atLeast"/>
        </w:trPr>
        <w:tc>
          <w:tcPr>
            <w:tcW w:w="41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帧率</w:t>
            </w:r>
          </w:p>
        </w:tc>
        <w:tc>
          <w:tcPr>
            <w:tcW w:w="37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≥ 30 FPS</w:t>
            </w:r>
          </w:p>
        </w:tc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推荐</w:t>
            </w:r>
          </w:p>
        </w:tc>
        <w:tc>
          <w:tcPr>
            <w:tcW w:w="56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实时扫描显示帧率</w:t>
            </w:r>
          </w:p>
        </w:tc>
      </w:tr>
    </w:tbl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13" w:name="heading_12"/>
      <w:r>
        <w:rPr>
          <w:rFonts w:ascii="Arial" w:hAnsi="Arial" w:eastAsia="等线" w:cs="Arial"/>
          <w:color w:val="3370ff"/>
          <w:sz w:val="32"/>
        </w:rPr>
        <w:t xml:space="preserve">3.3 </w:t>
      </w:r>
      <w:r>
        <w:rPr>
          <w:rFonts w:ascii="Arial" w:hAnsi="Arial" w:eastAsia="等线" w:cs="Arial"/>
          <w:b/>
          <w:sz w:val="32"/>
        </w:rPr>
        <w:t>免贴点技术专项要求</w:t>
      </w:r>
      <w:bookmarkEnd w:id="13"/>
    </w:p>
    <w:tbl>
      <w:tblPr>
        <w:tblW w:w="0" w:type="auto"/>
        <w:tblInd w:w="0" w:type="dxa"/>
        <w:tblBorders>
          <w:top w:val="single" w:color="CBCDD1" w:sz="6"/>
          <w:left w:val="single" w:color="CBCDD1" w:sz="6"/>
          <w:bottom w:val="single" w:color="CBCDD1" w:sz="6"/>
          <w:right w:val="single" w:color="CBCDD1" w:sz="6"/>
          <w:insideH w:val="single" w:color="CBCDD1" w:sz="6"/>
          <w:insideV w:val="single" w:color="CBCDD1" w:sz="6"/>
        </w:tblBorders>
        <w:tblLayout w:type="fixed"/>
      </w:tblPr>
      <w:tblGrid>
        <w:gridCol w:w="4120"/>
        <w:gridCol w:w="3758"/>
        <w:gridCol w:w="1865"/>
        <w:gridCol w:w="5624"/>
      </w:tblGrid>
      <w:tr>
        <w:trPr>
          <w:trHeight w:val="528" w:hRule="atLeast"/>
        </w:trPr>
        <w:tc>
          <w:tcPr>
            <w:tcW w:w="41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参数项</w:t>
            </w:r>
          </w:p>
        </w:tc>
        <w:tc>
          <w:tcPr>
            <w:tcW w:w="375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要求值</w:t>
            </w:r>
          </w:p>
        </w:tc>
        <w:tc>
          <w:tcPr>
            <w:tcW w:w="18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要求级别</w:t>
            </w:r>
          </w:p>
        </w:tc>
        <w:tc>
          <w:tcPr>
            <w:tcW w:w="56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>
        <w:trPr>
          <w:trHeight w:val="474" w:hRule="atLeast"/>
        </w:trPr>
        <w:tc>
          <w:tcPr>
            <w:tcW w:w="41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免贴点扫描模式</w:t>
            </w:r>
          </w:p>
        </w:tc>
        <w:tc>
          <w:tcPr>
            <w:tcW w:w="375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标配支持，非选配</w:t>
            </w:r>
          </w:p>
        </w:tc>
        <w:tc>
          <w:tcPr>
            <w:tcW w:w="18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56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不得作为付费选配件</w:t>
            </w:r>
          </w:p>
        </w:tc>
      </w:tr>
      <w:tr>
        <w:trPr>
          <w:trHeight w:val="783" w:hRule="atLeast"/>
        </w:trPr>
        <w:tc>
          <w:tcPr>
            <w:tcW w:w="41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免贴点定位技术</w:t>
            </w:r>
          </w:p>
        </w:tc>
        <w:tc>
          <w:tcPr>
            <w:tcW w:w="375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光学跟踪式 或 VCSEL红外结构光式 或 智能特征自定位式</w:t>
            </w:r>
          </w:p>
        </w:tc>
        <w:tc>
          <w:tcPr>
            <w:tcW w:w="18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56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供应商须说明具体技术路线</w:t>
            </w:r>
          </w:p>
        </w:tc>
      </w:tr>
      <w:tr>
        <w:trPr>
          <w:trHeight w:val="528" w:hRule="atLeast"/>
        </w:trPr>
        <w:tc>
          <w:tcPr>
            <w:tcW w:w="41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免贴点模式下单帧精度</w:t>
            </w:r>
          </w:p>
        </w:tc>
        <w:tc>
          <w:tcPr>
            <w:tcW w:w="375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≤ 0.050 mm</w:t>
            </w:r>
          </w:p>
        </w:tc>
        <w:tc>
          <w:tcPr>
            <w:tcW w:w="18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56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免贴点模式下的精度指标</w:t>
            </w:r>
          </w:p>
        </w:tc>
      </w:tr>
      <w:tr>
        <w:trPr>
          <w:trHeight w:val="528" w:hRule="atLeast"/>
        </w:trPr>
        <w:tc>
          <w:tcPr>
            <w:tcW w:w="41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免贴点模式下体积精度</w:t>
            </w:r>
          </w:p>
        </w:tc>
        <w:tc>
          <w:tcPr>
            <w:tcW w:w="375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≤ 0.030 mm + 0.060 mm/m</w:t>
            </w:r>
          </w:p>
        </w:tc>
        <w:tc>
          <w:tcPr>
            <w:tcW w:w="18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56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免贴点模式下的体积精度</w:t>
            </w:r>
          </w:p>
        </w:tc>
      </w:tr>
      <w:tr>
        <w:trPr>
          <w:trHeight w:val="528" w:hRule="atLeast"/>
        </w:trPr>
        <w:tc>
          <w:tcPr>
            <w:tcW w:w="41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免贴点模式扫描速率</w:t>
            </w:r>
          </w:p>
        </w:tc>
        <w:tc>
          <w:tcPr>
            <w:tcW w:w="375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≥ 500,000 点/秒</w:t>
            </w:r>
          </w:p>
        </w:tc>
        <w:tc>
          <w:tcPr>
            <w:tcW w:w="18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56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免贴点模式下的有效采集速率</w:t>
            </w:r>
          </w:p>
        </w:tc>
      </w:tr>
      <w:tr>
        <w:trPr>
          <w:trHeight w:val="783" w:hRule="atLeast"/>
        </w:trPr>
        <w:tc>
          <w:tcPr>
            <w:tcW w:w="41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免贴点模式适用材质</w:t>
            </w:r>
          </w:p>
        </w:tc>
        <w:tc>
          <w:tcPr>
            <w:tcW w:w="375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支持金属、塑料、橡胶、木材、复合材料等常见工业材质</w:t>
            </w:r>
          </w:p>
        </w:tc>
        <w:tc>
          <w:tcPr>
            <w:tcW w:w="18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56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高反光/黑色材质须可直接扫描或经简单处理后扫描</w:t>
            </w:r>
          </w:p>
        </w:tc>
      </w:tr>
      <w:tr>
        <w:trPr>
          <w:trHeight w:val="528" w:hRule="atLeast"/>
        </w:trPr>
        <w:tc>
          <w:tcPr>
            <w:tcW w:w="41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贴点模式兼容</w:t>
            </w:r>
          </w:p>
        </w:tc>
        <w:tc>
          <w:tcPr>
            <w:tcW w:w="375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同时支持贴点扫描模式</w:t>
            </w:r>
          </w:p>
        </w:tc>
        <w:tc>
          <w:tcPr>
            <w:tcW w:w="18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56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用于超高精度要求场景，两种模式可切换</w:t>
            </w:r>
          </w:p>
        </w:tc>
      </w:tr>
      <w:tr>
        <w:trPr>
          <w:trHeight w:val="783" w:hRule="atLeast"/>
        </w:trPr>
        <w:tc>
          <w:tcPr>
            <w:tcW w:w="41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免贴点跟踪范围</w:t>
            </w:r>
          </w:p>
        </w:tc>
        <w:tc>
          <w:tcPr>
            <w:tcW w:w="375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跟踪距离 ≥ 2.5 m（跟踪式）或 无外部跟踪依赖（自定位式）</w:t>
            </w:r>
          </w:p>
        </w:tc>
        <w:tc>
          <w:tcPr>
            <w:tcW w:w="18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56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根据技术路线对应要求</w:t>
            </w:r>
          </w:p>
        </w:tc>
      </w:tr>
    </w:tbl>
    <w:p>
      <w:pPr>
        <w:pStyle w:val="0000c5"/>
        <w:spacing w:before="380" w:after="140" w:line="288" w:lineRule="auto"/>
        <w:ind w:left="0"/>
        <w:jc w:val="left"/>
        <w:outlineLvl w:val="0"/>
        <w:rPr/>
      </w:pPr>
      <w:bookmarkStart w:id="14" w:name="heading_13"/>
      <w:r>
        <w:rPr>
          <w:rFonts w:ascii="Arial" w:hAnsi="Arial" w:eastAsia="等线" w:cs="Arial"/>
          <w:color w:val="3370ff"/>
          <w:sz w:val="36"/>
        </w:rPr>
        <w:t xml:space="preserve">4. </w:t>
      </w:r>
      <w:r>
        <w:rPr>
          <w:rFonts w:ascii="Arial" w:hAnsi="Arial" w:eastAsia="等线" w:cs="Arial"/>
          <w:b/>
          <w:sz w:val="36"/>
        </w:rPr>
        <w:t>功能要求</w:t>
      </w:r>
      <w:bookmarkEnd w:id="14"/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15" w:name="heading_14"/>
      <w:r>
        <w:rPr>
          <w:rFonts w:ascii="Arial" w:hAnsi="Arial" w:eastAsia="等线" w:cs="Arial"/>
          <w:color w:val="3370ff"/>
          <w:sz w:val="32"/>
        </w:rPr>
        <w:t xml:space="preserve">4.1 </w:t>
      </w:r>
      <w:r>
        <w:rPr>
          <w:rFonts w:ascii="Arial" w:hAnsi="Arial" w:eastAsia="等线" w:cs="Arial"/>
          <w:b/>
          <w:sz w:val="32"/>
        </w:rPr>
        <w:t>扫描模式</w:t>
      </w:r>
      <w:bookmarkEnd w:id="15"/>
    </w:p>
    <w:p>
      <w:pPr>
        <w:numPr>
          <w:ilvl w:val="0"/>
          <w:numId w:val="3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b/>
          <w:sz w:val="22"/>
        </w:rPr>
        <w:t>标准扫描模式</w:t>
      </w:r>
      <w:r>
        <w:rPr>
          <w:rFonts w:ascii="Arial" w:hAnsi="Arial" w:eastAsia="等线" w:cs="Arial"/>
          <w:sz w:val="22"/>
        </w:rPr>
        <w:t>：多束交叉激光线，适用于一般表面快速扫描。</w:t>
      </w:r>
    </w:p>
    <w:p>
      <w:pPr>
        <w:numPr>
          <w:ilvl w:val="0"/>
          <w:numId w:val="3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b/>
          <w:sz w:val="22"/>
        </w:rPr>
        <w:t>精细扫描模式</w:t>
      </w:r>
      <w:r>
        <w:rPr>
          <w:rFonts w:ascii="Arial" w:hAnsi="Arial" w:eastAsia="等线" w:cs="Arial"/>
          <w:sz w:val="22"/>
        </w:rPr>
        <w:t>：多束平行激光线，适用于高细节特征区域。</w:t>
      </w:r>
    </w:p>
    <w:p>
      <w:pPr>
        <w:numPr>
          <w:ilvl w:val="0"/>
          <w:numId w:val="3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b/>
          <w:sz w:val="22"/>
        </w:rPr>
        <w:t>深孔/窄缝扫描模式</w:t>
      </w:r>
      <w:r>
        <w:rPr>
          <w:rFonts w:ascii="Arial" w:hAnsi="Arial" w:eastAsia="等线" w:cs="Arial"/>
          <w:sz w:val="22"/>
        </w:rPr>
        <w:t>：单束激光线，适用于深腔、沟槽、内角等难达区域。</w:t>
      </w:r>
    </w:p>
    <w:p>
      <w:pPr>
        <w:numPr>
          <w:ilvl w:val="0"/>
          <w:numId w:val="3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b/>
          <w:sz w:val="22"/>
        </w:rPr>
        <w:t>免贴点扫描模式</w:t>
      </w:r>
      <w:r>
        <w:rPr>
          <w:rFonts w:ascii="Arial" w:hAnsi="Arial" w:eastAsia="等线" w:cs="Arial"/>
          <w:sz w:val="22"/>
        </w:rPr>
        <w:t>：无需粘贴标记点即可完成空间定位与数据拼接。</w:t>
      </w:r>
    </w:p>
    <w:p>
      <w:pPr>
        <w:numPr>
          <w:ilvl w:val="0"/>
          <w:numId w:val="3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b/>
          <w:sz w:val="22"/>
        </w:rPr>
        <w:t>贴点扫描模式</w:t>
      </w:r>
      <w:r>
        <w:rPr>
          <w:rFonts w:ascii="Arial" w:hAnsi="Arial" w:eastAsia="等线" w:cs="Arial"/>
          <w:sz w:val="22"/>
        </w:rPr>
        <w:t>：支持标记点辅助定位，用于超高精度及大型工件测量。</w:t>
      </w:r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16" w:name="heading_15"/>
      <w:r>
        <w:rPr>
          <w:rFonts w:ascii="Arial" w:hAnsi="Arial" w:eastAsia="等线" w:cs="Arial"/>
          <w:color w:val="3370ff"/>
          <w:sz w:val="32"/>
        </w:rPr>
        <w:t xml:space="preserve">4.2 </w:t>
      </w:r>
      <w:r>
        <w:rPr>
          <w:rFonts w:ascii="Arial" w:hAnsi="Arial" w:eastAsia="等线" w:cs="Arial"/>
          <w:b/>
          <w:sz w:val="32"/>
        </w:rPr>
        <w:t>数据处理与输出</w:t>
      </w:r>
      <w:bookmarkEnd w:id="16"/>
    </w:p>
    <w:p>
      <w:pPr>
        <w:numPr>
          <w:ilvl w:val="0"/>
          <w:numId w:val="4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实时点云显示与拼接，扫描过程中可实时预览拼接效果</w:t>
      </w:r>
    </w:p>
    <w:p>
      <w:pPr>
        <w:numPr>
          <w:ilvl w:val="0"/>
          <w:numId w:val="4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支持点云自动去噪、精简、补洞及平滑处理</w:t>
      </w:r>
    </w:p>
    <w:p>
      <w:pPr>
        <w:numPr>
          <w:ilvl w:val="0"/>
          <w:numId w:val="4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支持点云与 CAD 模型实时比对（彩色偏差色谱图）</w:t>
      </w:r>
    </w:p>
    <w:p>
      <w:pPr>
        <w:numPr>
          <w:ilvl w:val="0"/>
          <w:numId w:val="4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支持坐标系对齐（最佳拟合、点对齐、特征对齐、RPS对齐等）</w:t>
      </w:r>
    </w:p>
    <w:p>
      <w:pPr>
        <w:numPr>
          <w:ilvl w:val="0"/>
          <w:numId w:val="4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支持几何特征提取（平面、圆柱、圆锥、球、槽、孔等）</w:t>
      </w:r>
    </w:p>
    <w:p>
      <w:pPr>
        <w:numPr>
          <w:ilvl w:val="0"/>
          <w:numId w:val="4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支持形位公差分析（平面度、圆柱度、圆度、位置度、同轴度等）</w:t>
      </w:r>
    </w:p>
    <w:p>
      <w:pPr>
        <w:numPr>
          <w:ilvl w:val="0"/>
          <w:numId w:val="4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输出格式须包含但不限于：STL、OBJ、PLY、ASC、PTX、E57</w:t>
      </w:r>
    </w:p>
    <w:p>
      <w:pPr>
        <w:numPr>
          <w:ilvl w:val="0"/>
          <w:numId w:val="4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支持导出检测报告（PDF格式，含偏差色谱图、尺寸标注及公差判定）</w:t>
      </w:r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17" w:name="heading_16"/>
      <w:r>
        <w:rPr>
          <w:rFonts w:ascii="Arial" w:hAnsi="Arial" w:eastAsia="等线" w:cs="Arial"/>
          <w:color w:val="3370ff"/>
          <w:sz w:val="32"/>
        </w:rPr>
        <w:t xml:space="preserve">4.3 </w:t>
      </w:r>
      <w:r>
        <w:rPr>
          <w:rFonts w:ascii="Arial" w:hAnsi="Arial" w:eastAsia="等线" w:cs="Arial"/>
          <w:b/>
          <w:sz w:val="32"/>
        </w:rPr>
        <w:t>软件要求</w:t>
      </w:r>
      <w:bookmarkEnd w:id="17"/>
    </w:p>
    <w:tbl>
      <w:tblPr>
        <w:tblW w:w="0" w:type="auto"/>
        <w:tblInd w:w="0" w:type="dxa"/>
        <w:tblBorders>
          <w:top w:val="single" w:color="CBCDD1" w:sz="6"/>
          <w:left w:val="single" w:color="CBCDD1" w:sz="6"/>
          <w:bottom w:val="single" w:color="CBCDD1" w:sz="6"/>
          <w:right w:val="single" w:color="CBCDD1" w:sz="6"/>
          <w:insideH w:val="single" w:color="CBCDD1" w:sz="6"/>
          <w:insideV w:val="single" w:color="CBCDD1" w:sz="6"/>
        </w:tblBorders>
        <w:tblLayout w:type="fixed"/>
      </w:tblPr>
      <w:tblGrid>
        <w:gridCol w:w="4056"/>
        <w:gridCol w:w="9235"/>
        <w:gridCol w:w="1836"/>
      </w:tblGrid>
      <w:tr>
        <w:trPr>
          <w:trHeight w:val="665" w:hRule="atLeast"/>
        </w:trPr>
        <w:tc>
          <w:tcPr>
            <w:tcW w:w="40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功能模块</w:t>
            </w:r>
          </w:p>
        </w:tc>
        <w:tc>
          <w:tcPr>
            <w:tcW w:w="92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要求</w:t>
            </w:r>
          </w:p>
        </w:tc>
        <w:tc>
          <w:tcPr>
            <w:tcW w:w="18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要求级别</w:t>
            </w:r>
          </w:p>
        </w:tc>
      </w:tr>
      <w:tr>
        <w:trPr>
          <w:trHeight w:val="821" w:hRule="atLeast"/>
        </w:trPr>
        <w:tc>
          <w:tcPr>
            <w:tcW w:w="40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扫描控制软件</w:t>
            </w:r>
          </w:p>
        </w:tc>
        <w:tc>
          <w:tcPr>
            <w:tcW w:w="92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原厂配套，支持扫描仪参数设置、实时扫描、数据采集与存储</w:t>
            </w:r>
          </w:p>
        </w:tc>
        <w:tc>
          <w:tcPr>
            <w:tcW w:w="18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</w:tr>
      <w:tr>
        <w:trPr>
          <w:trHeight w:val="821" w:hRule="atLeast"/>
        </w:trPr>
        <w:tc>
          <w:tcPr>
            <w:tcW w:w="40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点云处理软件</w:t>
            </w:r>
          </w:p>
        </w:tc>
        <w:tc>
          <w:tcPr>
            <w:tcW w:w="92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原厂或主流第三方软件许可，支持点云编辑、对齐、比对及特征提取</w:t>
            </w:r>
          </w:p>
        </w:tc>
        <w:tc>
          <w:tcPr>
            <w:tcW w:w="18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</w:tr>
      <w:tr>
        <w:trPr>
          <w:trHeight w:val="821" w:hRule="atLeast"/>
        </w:trPr>
        <w:tc>
          <w:tcPr>
            <w:tcW w:w="40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检测分析模块</w:t>
            </w:r>
          </w:p>
        </w:tc>
        <w:tc>
          <w:tcPr>
            <w:tcW w:w="92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支持CAD比对、尺寸测量、形位公差分析及检测报告生成</w:t>
            </w:r>
          </w:p>
        </w:tc>
        <w:tc>
          <w:tcPr>
            <w:tcW w:w="18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</w:tr>
      <w:tr>
        <w:trPr>
          <w:trHeight w:val="590" w:hRule="atLeast"/>
        </w:trPr>
        <w:tc>
          <w:tcPr>
            <w:tcW w:w="40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软件授权方式</w:t>
            </w:r>
          </w:p>
        </w:tc>
        <w:tc>
          <w:tcPr>
            <w:tcW w:w="92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永久授权（非订阅制），含至少1年免费升级维护</w:t>
            </w:r>
          </w:p>
        </w:tc>
        <w:tc>
          <w:tcPr>
            <w:tcW w:w="18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</w:tr>
      <w:tr>
        <w:trPr>
          <w:trHeight w:val="590" w:hRule="atLeast"/>
        </w:trPr>
        <w:tc>
          <w:tcPr>
            <w:tcW w:w="40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语言支持</w:t>
            </w:r>
          </w:p>
        </w:tc>
        <w:tc>
          <w:tcPr>
            <w:tcW w:w="92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中文界面（简体），支持中英文切换</w:t>
            </w:r>
          </w:p>
        </w:tc>
        <w:tc>
          <w:tcPr>
            <w:tcW w:w="18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</w:tr>
      <w:tr>
        <w:trPr>
          <w:trHeight w:val="590" w:hRule="atLeast"/>
        </w:trPr>
        <w:tc>
          <w:tcPr>
            <w:tcW w:w="40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操作系统兼容</w:t>
            </w:r>
          </w:p>
        </w:tc>
        <w:tc>
          <w:tcPr>
            <w:tcW w:w="92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支持 Windows 10/11 64位操作系统</w:t>
            </w:r>
          </w:p>
        </w:tc>
        <w:tc>
          <w:tcPr>
            <w:tcW w:w="18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</w:tr>
      <w:tr>
        <w:trPr>
          <w:trHeight w:val="821" w:hRule="atLeast"/>
        </w:trPr>
        <w:tc>
          <w:tcPr>
            <w:tcW w:w="40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逆向建模模块</w:t>
            </w:r>
          </w:p>
        </w:tc>
        <w:tc>
          <w:tcPr>
            <w:tcW w:w="92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支持点云网格化、曲面重建及参数化建模（可选配）</w:t>
            </w:r>
          </w:p>
        </w:tc>
        <w:tc>
          <w:tcPr>
            <w:tcW w:w="18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推荐</w:t>
            </w:r>
          </w:p>
        </w:tc>
      </w:tr>
    </w:tbl>
    <w:p>
      <w:pPr>
        <w:pStyle w:val="0000c5"/>
        <w:spacing w:before="380" w:after="140" w:line="288" w:lineRule="auto"/>
        <w:ind w:left="0"/>
        <w:jc w:val="left"/>
        <w:outlineLvl w:val="0"/>
        <w:rPr/>
      </w:pPr>
      <w:bookmarkStart w:id="18" w:name="heading_17"/>
      <w:r>
        <w:rPr>
          <w:rFonts w:ascii="Arial" w:hAnsi="Arial" w:eastAsia="等线" w:cs="Arial"/>
          <w:color w:val="3370ff"/>
          <w:sz w:val="36"/>
        </w:rPr>
        <w:t xml:space="preserve">5. </w:t>
      </w:r>
      <w:r>
        <w:rPr>
          <w:rFonts w:ascii="Arial" w:hAnsi="Arial" w:eastAsia="等线" w:cs="Arial"/>
          <w:b/>
          <w:sz w:val="36"/>
        </w:rPr>
        <w:t>硬件与结构要求</w:t>
      </w:r>
      <w:bookmarkEnd w:id="18"/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19" w:name="heading_18"/>
      <w:r>
        <w:rPr>
          <w:rFonts w:ascii="Arial" w:hAnsi="Arial" w:eastAsia="等线" w:cs="Arial"/>
          <w:color w:val="3370ff"/>
          <w:sz w:val="32"/>
        </w:rPr>
        <w:t xml:space="preserve">5.1 </w:t>
      </w:r>
      <w:r>
        <w:rPr>
          <w:rFonts w:ascii="Arial" w:hAnsi="Arial" w:eastAsia="等线" w:cs="Arial"/>
          <w:b/>
          <w:sz w:val="32"/>
        </w:rPr>
        <w:t>主机性能</w:t>
      </w:r>
      <w:bookmarkEnd w:id="19"/>
    </w:p>
    <w:tbl>
      <w:tblPr>
        <w:tblW w:w="0" w:type="auto"/>
        <w:tblInd w:w="0" w:type="dxa"/>
        <w:tblBorders>
          <w:top w:val="single" w:color="CBCDD1" w:sz="6"/>
          <w:left w:val="single" w:color="CBCDD1" w:sz="6"/>
          <w:bottom w:val="single" w:color="CBCDD1" w:sz="6"/>
          <w:right w:val="single" w:color="CBCDD1" w:sz="6"/>
          <w:insideH w:val="single" w:color="CBCDD1" w:sz="6"/>
          <w:insideV w:val="single" w:color="CBCDD1" w:sz="6"/>
        </w:tblBorders>
        <w:tblLayout w:type="fixed"/>
      </w:tblPr>
      <w:tblGrid>
        <w:gridCol w:w="4313"/>
        <w:gridCol w:w="3934"/>
        <w:gridCol w:w="1953"/>
        <w:gridCol w:w="5886"/>
      </w:tblGrid>
      <w:tr>
        <w:trPr>
          <w:trHeight w:val="509" w:hRule="atLeast"/>
        </w:trPr>
        <w:tc>
          <w:tcPr>
            <w:tcW w:w="43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参数项</w:t>
            </w:r>
          </w:p>
        </w:tc>
        <w:tc>
          <w:tcPr>
            <w:tcW w:w="39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要求值</w:t>
            </w:r>
          </w:p>
        </w:tc>
        <w:tc>
          <w:tcPr>
            <w:tcW w:w="195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要求级别</w:t>
            </w:r>
          </w:p>
        </w:tc>
        <w:tc>
          <w:tcPr>
            <w:tcW w:w="58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>
        <w:trPr>
          <w:trHeight w:val="509" w:hRule="atLeast"/>
        </w:trPr>
        <w:tc>
          <w:tcPr>
            <w:tcW w:w="43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激光光源</w:t>
            </w:r>
          </w:p>
        </w:tc>
        <w:tc>
          <w:tcPr>
            <w:tcW w:w="39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蓝色激光（波长 405～450 nm）</w:t>
            </w:r>
          </w:p>
        </w:tc>
        <w:tc>
          <w:tcPr>
            <w:tcW w:w="195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58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蓝色激光对高反光及深色材质适应性更好</w:t>
            </w:r>
          </w:p>
        </w:tc>
      </w:tr>
      <w:tr>
        <w:trPr>
          <w:trHeight w:val="509" w:hRule="atLeast"/>
        </w:trPr>
        <w:tc>
          <w:tcPr>
            <w:tcW w:w="43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激光安全等级</w:t>
            </w:r>
          </w:p>
        </w:tc>
        <w:tc>
          <w:tcPr>
            <w:tcW w:w="39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Class 2（人眼安全）</w:t>
            </w:r>
          </w:p>
        </w:tc>
        <w:tc>
          <w:tcPr>
            <w:tcW w:w="195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58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符合 IEC 60825-1 标准</w:t>
            </w:r>
          </w:p>
        </w:tc>
      </w:tr>
      <w:tr>
        <w:trPr>
          <w:trHeight w:val="470" w:hRule="atLeast"/>
        </w:trPr>
        <w:tc>
          <w:tcPr>
            <w:tcW w:w="43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工业相机数量</w:t>
            </w:r>
          </w:p>
        </w:tc>
        <w:tc>
          <w:tcPr>
            <w:tcW w:w="39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≥ 2 个</w:t>
            </w:r>
          </w:p>
        </w:tc>
        <w:tc>
          <w:tcPr>
            <w:tcW w:w="195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58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双目或多目立体视觉系统</w:t>
            </w:r>
          </w:p>
        </w:tc>
      </w:tr>
      <w:tr>
        <w:trPr>
          <w:trHeight w:val="470" w:hRule="atLeast"/>
        </w:trPr>
        <w:tc>
          <w:tcPr>
            <w:tcW w:w="43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相机分辨率</w:t>
            </w:r>
          </w:p>
        </w:tc>
        <w:tc>
          <w:tcPr>
            <w:tcW w:w="39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≥ 500 万像素/个</w:t>
            </w:r>
          </w:p>
        </w:tc>
        <w:tc>
          <w:tcPr>
            <w:tcW w:w="195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推荐</w:t>
            </w:r>
          </w:p>
        </w:tc>
        <w:tc>
          <w:tcPr>
            <w:tcW w:w="58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单相机有效像素</w:t>
            </w:r>
          </w:p>
        </w:tc>
      </w:tr>
      <w:tr>
        <w:trPr>
          <w:trHeight w:val="470" w:hRule="atLeast"/>
        </w:trPr>
        <w:tc>
          <w:tcPr>
            <w:tcW w:w="43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主机重量</w:t>
            </w:r>
          </w:p>
        </w:tc>
        <w:tc>
          <w:tcPr>
            <w:tcW w:w="39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≤ 1.5 kg（手持端）</w:t>
            </w:r>
          </w:p>
        </w:tc>
        <w:tc>
          <w:tcPr>
            <w:tcW w:w="195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58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不含线缆及跟踪单元</w:t>
            </w:r>
          </w:p>
        </w:tc>
      </w:tr>
      <w:tr>
        <w:trPr>
          <w:trHeight w:val="470" w:hRule="atLeast"/>
        </w:trPr>
        <w:tc>
          <w:tcPr>
            <w:tcW w:w="43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主机尺寸</w:t>
            </w:r>
          </w:p>
        </w:tc>
        <w:tc>
          <w:tcPr>
            <w:tcW w:w="39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适合单手握持操作</w:t>
            </w:r>
          </w:p>
        </w:tc>
        <w:tc>
          <w:tcPr>
            <w:tcW w:w="195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58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人体工学设计</w:t>
            </w:r>
          </w:p>
        </w:tc>
      </w:tr>
      <w:tr>
        <w:trPr>
          <w:trHeight w:val="715" w:hRule="atLeast"/>
        </w:trPr>
        <w:tc>
          <w:tcPr>
            <w:tcW w:w="43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数据接口</w:t>
            </w:r>
          </w:p>
        </w:tc>
        <w:tc>
          <w:tcPr>
            <w:tcW w:w="39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USB 3.0 及以上 或 千兆网口 或 无线传输</w:t>
            </w:r>
          </w:p>
        </w:tc>
        <w:tc>
          <w:tcPr>
            <w:tcW w:w="195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58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支持高速数据传输</w:t>
            </w:r>
          </w:p>
        </w:tc>
      </w:tr>
      <w:tr>
        <w:trPr>
          <w:trHeight w:val="645" w:hRule="atLeast"/>
        </w:trPr>
        <w:tc>
          <w:tcPr>
            <w:tcW w:w="43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供电方式</w:t>
            </w:r>
          </w:p>
        </w:tc>
        <w:tc>
          <w:tcPr>
            <w:tcW w:w="39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外部电源适配器 或 内置电池（无线款）</w:t>
            </w:r>
          </w:p>
        </w:tc>
        <w:tc>
          <w:tcPr>
            <w:tcW w:w="195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58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连续工作时间 ≥ 2 小时（电池款）</w:t>
            </w:r>
          </w:p>
        </w:tc>
      </w:tr>
      <w:tr>
        <w:trPr>
          <w:trHeight w:val="509" w:hRule="atLeast"/>
        </w:trPr>
        <w:tc>
          <w:tcPr>
            <w:tcW w:w="43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温度补偿</w:t>
            </w:r>
          </w:p>
        </w:tc>
        <w:tc>
          <w:tcPr>
            <w:tcW w:w="39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内置温度传感器，支持热漂移补偿</w:t>
            </w:r>
          </w:p>
        </w:tc>
        <w:tc>
          <w:tcPr>
            <w:tcW w:w="195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  <w:tc>
          <w:tcPr>
            <w:tcW w:w="58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保障环境温度变化下的精度稳定性</w:t>
            </w:r>
          </w:p>
        </w:tc>
      </w:tr>
      <w:tr>
        <w:trPr>
          <w:trHeight w:val="509" w:hRule="atLeast"/>
        </w:trPr>
        <w:tc>
          <w:tcPr>
            <w:tcW w:w="43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预热时间</w:t>
            </w:r>
          </w:p>
        </w:tc>
        <w:tc>
          <w:tcPr>
            <w:tcW w:w="39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≤ 5 分钟</w:t>
            </w:r>
          </w:p>
        </w:tc>
        <w:tc>
          <w:tcPr>
            <w:tcW w:w="195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推荐</w:t>
            </w:r>
          </w:p>
        </w:tc>
        <w:tc>
          <w:tcPr>
            <w:tcW w:w="58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从开机到达到标称精度的时间</w:t>
            </w:r>
          </w:p>
        </w:tc>
      </w:tr>
    </w:tbl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20" w:name="heading_19"/>
      <w:r>
        <w:rPr>
          <w:rFonts w:ascii="Arial" w:hAnsi="Arial" w:eastAsia="等线" w:cs="Arial"/>
          <w:color w:val="3370ff"/>
          <w:sz w:val="32"/>
        </w:rPr>
        <w:t xml:space="preserve">5.2 </w:t>
      </w:r>
      <w:r>
        <w:rPr>
          <w:rFonts w:ascii="Arial" w:hAnsi="Arial" w:eastAsia="等线" w:cs="Arial"/>
          <w:b/>
          <w:sz w:val="32"/>
        </w:rPr>
        <w:t>跟踪系统（如适用）</w:t>
      </w:r>
      <w:bookmarkEnd w:id="20"/>
    </w:p>
    <w:p>
      <w:pPr>
        <w:spacing w:before="120" w:after="120" w:line="288" w:lineRule="auto"/>
        <w:ind w:left="0"/>
        <w:jc w:val="left"/>
        <w:rPr/>
      </w:pPr>
      <w:r>
        <w:rPr>
          <w:rFonts w:ascii="Arial" w:hAnsi="Arial" w:eastAsia="等线" w:cs="Arial"/>
          <w:sz w:val="22"/>
        </w:rPr>
        <w:t>若采用外部光学跟踪式免贴点方案，跟踪系统须满足以下要求：</w:t>
      </w:r>
    </w:p>
    <w:p>
      <w:pPr>
        <w:numPr>
          <w:ilvl w:val="0"/>
          <w:numId w:val="5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跟踪仪与扫描仪之间的最大跟踪距离 ≥ 3.0 m</w:t>
      </w:r>
    </w:p>
    <w:p>
      <w:pPr>
        <w:numPr>
          <w:ilvl w:val="0"/>
          <w:numId w:val="5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跟踪测量体积 ≥ 10 m³</w:t>
      </w:r>
    </w:p>
    <w:p>
      <w:pPr>
        <w:numPr>
          <w:ilvl w:val="0"/>
          <w:numId w:val="5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跟踪系统体积精度 ≤ 0.060 mm（在 10 m³ 范围内）</w:t>
      </w:r>
    </w:p>
    <w:p>
      <w:pPr>
        <w:numPr>
          <w:ilvl w:val="0"/>
          <w:numId w:val="5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支持动态跟踪，扫描仪移动过程中不丢失定位</w:t>
      </w:r>
    </w:p>
    <w:p>
      <w:pPr>
        <w:numPr>
          <w:ilvl w:val="0"/>
          <w:numId w:val="5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跟踪仪具备独立校准功能</w:t>
      </w:r>
    </w:p>
    <w:p>
      <w:pPr>
        <w:pStyle w:val="0000c5"/>
        <w:spacing w:before="380" w:after="140" w:line="288" w:lineRule="auto"/>
        <w:ind w:left="0"/>
        <w:jc w:val="left"/>
        <w:outlineLvl w:val="0"/>
        <w:rPr/>
      </w:pPr>
      <w:bookmarkStart w:id="21" w:name="heading_20"/>
      <w:r>
        <w:rPr>
          <w:rFonts w:ascii="Arial" w:hAnsi="Arial" w:eastAsia="等线" w:cs="Arial"/>
          <w:color w:val="3370ff"/>
          <w:sz w:val="36"/>
        </w:rPr>
        <w:t xml:space="preserve">6. </w:t>
      </w:r>
      <w:r>
        <w:rPr>
          <w:rFonts w:ascii="Arial" w:hAnsi="Arial" w:eastAsia="等线" w:cs="Arial"/>
          <w:b/>
          <w:sz w:val="36"/>
        </w:rPr>
        <w:t>环境与可靠性要求</w:t>
      </w:r>
      <w:bookmarkEnd w:id="21"/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22" w:name="heading_21"/>
      <w:r>
        <w:rPr>
          <w:rFonts w:ascii="Arial" w:hAnsi="Arial" w:eastAsia="等线" w:cs="Arial"/>
          <w:color w:val="3370ff"/>
          <w:sz w:val="32"/>
        </w:rPr>
        <w:t xml:space="preserve">6.1 </w:t>
      </w:r>
      <w:r>
        <w:rPr>
          <w:rFonts w:ascii="Arial" w:hAnsi="Arial" w:eastAsia="等线" w:cs="Arial"/>
          <w:b/>
          <w:sz w:val="32"/>
        </w:rPr>
        <w:t>工作环境</w:t>
      </w:r>
      <w:bookmarkEnd w:id="22"/>
    </w:p>
    <w:tbl>
      <w:tblPr>
        <w:tblW w:w="0" w:type="auto"/>
        <w:tblInd w:w="0" w:type="dxa"/>
        <w:tblBorders>
          <w:top w:val="single" w:color="CBCDD1" w:sz="6"/>
          <w:left w:val="single" w:color="CBCDD1" w:sz="6"/>
          <w:bottom w:val="single" w:color="CBCDD1" w:sz="6"/>
          <w:right w:val="single" w:color="CBCDD1" w:sz="6"/>
          <w:insideH w:val="single" w:color="CBCDD1" w:sz="6"/>
          <w:insideV w:val="single" w:color="CBCDD1" w:sz="6"/>
        </w:tblBorders>
        <w:tblLayout w:type="fixed"/>
      </w:tblPr>
      <w:tblGrid>
        <w:gridCol w:w="4112"/>
        <w:gridCol w:w="7474"/>
        <w:gridCol w:w="3751"/>
      </w:tblGrid>
      <w:tr>
        <w:trPr>
          <w:trHeight w:val="395" w:hRule="atLeast"/>
        </w:trPr>
        <w:tc>
          <w:tcPr>
            <w:tcW w:w="41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参数项</w:t>
            </w:r>
          </w:p>
        </w:tc>
        <w:tc>
          <w:tcPr>
            <w:tcW w:w="747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要求范围</w:t>
            </w:r>
          </w:p>
        </w:tc>
        <w:tc>
          <w:tcPr>
            <w:tcW w:w="37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要求级别</w:t>
            </w:r>
          </w:p>
        </w:tc>
      </w:tr>
      <w:tr>
        <w:trPr>
          <w:trHeight w:val="395" w:hRule="atLeast"/>
        </w:trPr>
        <w:tc>
          <w:tcPr>
            <w:tcW w:w="41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工作温度</w:t>
            </w:r>
          </w:p>
        </w:tc>
        <w:tc>
          <w:tcPr>
            <w:tcW w:w="747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5 ℃ ～ 40 ℃</w:t>
            </w:r>
          </w:p>
        </w:tc>
        <w:tc>
          <w:tcPr>
            <w:tcW w:w="37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</w:tr>
      <w:tr>
        <w:trPr>
          <w:trHeight w:val="395" w:hRule="atLeast"/>
        </w:trPr>
        <w:tc>
          <w:tcPr>
            <w:tcW w:w="41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存储温度</w:t>
            </w:r>
          </w:p>
        </w:tc>
        <w:tc>
          <w:tcPr>
            <w:tcW w:w="747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-10 ℃ ～ 55 ℃</w:t>
            </w:r>
          </w:p>
        </w:tc>
        <w:tc>
          <w:tcPr>
            <w:tcW w:w="37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</w:tr>
      <w:tr>
        <w:trPr>
          <w:trHeight w:val="395" w:hRule="atLeast"/>
        </w:trPr>
        <w:tc>
          <w:tcPr>
            <w:tcW w:w="41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工作湿度</w:t>
            </w:r>
          </w:p>
        </w:tc>
        <w:tc>
          <w:tcPr>
            <w:tcW w:w="747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10% ～ 90%（非冷凝）</w:t>
            </w:r>
          </w:p>
        </w:tc>
        <w:tc>
          <w:tcPr>
            <w:tcW w:w="37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</w:tr>
      <w:tr>
        <w:trPr>
          <w:trHeight w:val="395" w:hRule="atLeast"/>
        </w:trPr>
        <w:tc>
          <w:tcPr>
            <w:tcW w:w="41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防护等级</w:t>
            </w:r>
          </w:p>
        </w:tc>
        <w:tc>
          <w:tcPr>
            <w:tcW w:w="747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≥ IP40</w:t>
            </w:r>
          </w:p>
        </w:tc>
        <w:tc>
          <w:tcPr>
            <w:tcW w:w="37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推荐</w:t>
            </w:r>
          </w:p>
        </w:tc>
      </w:tr>
      <w:tr>
        <w:trPr>
          <w:trHeight w:val="395" w:hRule="atLeast"/>
        </w:trPr>
        <w:tc>
          <w:tcPr>
            <w:tcW w:w="41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抗振动能力</w:t>
            </w:r>
          </w:p>
        </w:tc>
        <w:tc>
          <w:tcPr>
            <w:tcW w:w="747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适应车间一般振动环境</w:t>
            </w:r>
          </w:p>
        </w:tc>
        <w:tc>
          <w:tcPr>
            <w:tcW w:w="37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</w:tr>
      <w:tr>
        <w:trPr>
          <w:trHeight w:val="521" w:hRule="atLeast"/>
        </w:trPr>
        <w:tc>
          <w:tcPr>
            <w:tcW w:w="41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环境光适应性</w:t>
            </w:r>
          </w:p>
        </w:tc>
        <w:tc>
          <w:tcPr>
            <w:tcW w:w="747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可在正常室内光照及车间照明下工作，不受普通日光灯干扰</w:t>
            </w:r>
          </w:p>
        </w:tc>
        <w:tc>
          <w:tcPr>
            <w:tcW w:w="37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</w:tr>
    </w:tbl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23" w:name="heading_22"/>
      <w:r>
        <w:rPr>
          <w:rFonts w:ascii="Arial" w:hAnsi="Arial" w:eastAsia="等线" w:cs="Arial"/>
          <w:color w:val="3370ff"/>
          <w:sz w:val="32"/>
        </w:rPr>
        <w:t xml:space="preserve">6.2 </w:t>
      </w:r>
      <w:r>
        <w:rPr>
          <w:rFonts w:ascii="Arial" w:hAnsi="Arial" w:eastAsia="等线" w:cs="Arial"/>
          <w:b/>
          <w:sz w:val="32"/>
        </w:rPr>
        <w:t>可靠性与寿命</w:t>
      </w:r>
      <w:bookmarkEnd w:id="23"/>
    </w:p>
    <w:p>
      <w:pPr>
        <w:numPr>
          <w:ilvl w:val="0"/>
          <w:numId w:val="6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激光器平均无故障工作时间（MTBF）≥ 20,000 小时</w:t>
      </w:r>
    </w:p>
    <w:p>
      <w:pPr>
        <w:numPr>
          <w:ilvl w:val="0"/>
          <w:numId w:val="6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设备整体设计使用寿命 ≥ 8 年</w:t>
      </w:r>
    </w:p>
    <w:p>
      <w:pPr>
        <w:numPr>
          <w:ilvl w:val="0"/>
          <w:numId w:val="6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支持长期使用后的精度校准与恢复</w:t>
      </w:r>
    </w:p>
    <w:p>
      <w:pPr>
        <w:numPr>
          <w:ilvl w:val="0"/>
          <w:numId w:val="6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关键部件（激光器、相机）可更换，更换后须支持现场校准</w:t>
      </w:r>
    </w:p>
    <w:p>
      <w:pPr>
        <w:pStyle w:val="0000c5"/>
        <w:spacing w:before="380" w:after="140" w:line="288" w:lineRule="auto"/>
        <w:ind w:left="0"/>
        <w:jc w:val="left"/>
        <w:outlineLvl w:val="0"/>
        <w:rPr/>
      </w:pPr>
      <w:bookmarkStart w:id="24" w:name="heading_23"/>
      <w:r>
        <w:rPr>
          <w:rFonts w:ascii="Arial" w:hAnsi="Arial" w:eastAsia="等线" w:cs="Arial"/>
          <w:color w:val="3370ff"/>
          <w:sz w:val="36"/>
        </w:rPr>
        <w:t xml:space="preserve">7. </w:t>
      </w:r>
      <w:r>
        <w:rPr>
          <w:rFonts w:ascii="Arial" w:hAnsi="Arial" w:eastAsia="等线" w:cs="Arial"/>
          <w:b/>
          <w:sz w:val="36"/>
        </w:rPr>
        <w:t>安全与合规要求</w:t>
      </w:r>
      <w:bookmarkEnd w:id="24"/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25" w:name="heading_24"/>
      <w:r>
        <w:rPr>
          <w:rFonts w:ascii="Arial" w:hAnsi="Arial" w:eastAsia="等线" w:cs="Arial"/>
          <w:color w:val="3370ff"/>
          <w:sz w:val="32"/>
        </w:rPr>
        <w:t xml:space="preserve">7.1 </w:t>
      </w:r>
      <w:r>
        <w:rPr>
          <w:rFonts w:ascii="Arial" w:hAnsi="Arial" w:eastAsia="等线" w:cs="Arial"/>
          <w:b/>
          <w:sz w:val="32"/>
        </w:rPr>
        <w:t>激光安全</w:t>
      </w:r>
      <w:bookmarkEnd w:id="25"/>
    </w:p>
    <w:p>
      <w:pPr>
        <w:numPr>
          <w:ilvl w:val="0"/>
          <w:numId w:val="7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激光产品须符合 IEC 60825-1 标准，激光安全等级为 Class 2（人眼安全）</w:t>
      </w:r>
    </w:p>
    <w:p>
      <w:pPr>
        <w:numPr>
          <w:ilvl w:val="0"/>
          <w:numId w:val="7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设备须具备激光安全警示标识</w:t>
      </w:r>
    </w:p>
    <w:p>
      <w:pPr>
        <w:numPr>
          <w:ilvl w:val="0"/>
          <w:numId w:val="7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扫描工作时须有激光发射状态指示</w:t>
      </w:r>
    </w:p>
    <w:p>
      <w:pPr>
        <w:numPr>
          <w:ilvl w:val="0"/>
          <w:numId w:val="7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须具备急停或激光关闭功能</w:t>
      </w:r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26" w:name="heading_25"/>
      <w:r>
        <w:rPr>
          <w:rFonts w:ascii="Arial" w:hAnsi="Arial" w:eastAsia="等线" w:cs="Arial"/>
          <w:color w:val="3370ff"/>
          <w:sz w:val="32"/>
        </w:rPr>
        <w:t xml:space="preserve">7.2 </w:t>
      </w:r>
      <w:r>
        <w:rPr>
          <w:rFonts w:ascii="Arial" w:hAnsi="Arial" w:eastAsia="等线" w:cs="Arial"/>
          <w:b/>
          <w:sz w:val="32"/>
        </w:rPr>
        <w:t>电气安全</w:t>
      </w:r>
      <w:bookmarkEnd w:id="26"/>
    </w:p>
    <w:p>
      <w:pPr>
        <w:numPr>
          <w:ilvl w:val="0"/>
          <w:numId w:val="8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电源适配器须符合 CCC 认证（中国市场）或 CE 认证</w:t>
      </w:r>
    </w:p>
    <w:p>
      <w:pPr>
        <w:numPr>
          <w:ilvl w:val="0"/>
          <w:numId w:val="8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设备须具备过流、过压、短路保护</w:t>
      </w:r>
    </w:p>
    <w:p>
      <w:pPr>
        <w:numPr>
          <w:ilvl w:val="0"/>
          <w:numId w:val="8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绝缘等级符合相应安全标准</w:t>
      </w:r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27" w:name="heading_26"/>
      <w:r>
        <w:rPr>
          <w:rFonts w:ascii="Arial" w:hAnsi="Arial" w:eastAsia="等线" w:cs="Arial"/>
          <w:color w:val="3370ff"/>
          <w:sz w:val="32"/>
        </w:rPr>
        <w:t xml:space="preserve">7.3 </w:t>
      </w:r>
      <w:r>
        <w:rPr>
          <w:rFonts w:ascii="Arial" w:hAnsi="Arial" w:eastAsia="等线" w:cs="Arial"/>
          <w:b/>
          <w:sz w:val="32"/>
        </w:rPr>
        <w:t>环保与RoHS</w:t>
      </w:r>
      <w:bookmarkEnd w:id="27"/>
    </w:p>
    <w:p>
      <w:pPr>
        <w:numPr>
          <w:ilvl w:val="0"/>
          <w:numId w:val="9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产品及包装须符合 RoHS 指令要求</w:t>
      </w:r>
    </w:p>
    <w:p>
      <w:pPr>
        <w:numPr>
          <w:ilvl w:val="0"/>
          <w:numId w:val="9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包装材料须可回收或可降解，符合 GB/T 191 包装储运标志要求</w:t>
      </w:r>
    </w:p>
    <w:p>
      <w:pPr>
        <w:pStyle w:val="0000c5"/>
        <w:spacing w:before="380" w:after="140" w:line="288" w:lineRule="auto"/>
        <w:ind w:left="0"/>
        <w:jc w:val="left"/>
        <w:outlineLvl w:val="0"/>
        <w:rPr/>
      </w:pPr>
      <w:bookmarkStart w:id="28" w:name="heading_27"/>
      <w:r>
        <w:rPr>
          <w:rFonts w:ascii="Arial" w:hAnsi="Arial" w:eastAsia="等线" w:cs="Arial"/>
          <w:color w:val="3370ff"/>
          <w:sz w:val="36"/>
        </w:rPr>
        <w:t xml:space="preserve">8. </w:t>
      </w:r>
      <w:r>
        <w:rPr>
          <w:rFonts w:ascii="Arial" w:hAnsi="Arial" w:eastAsia="等线" w:cs="Arial"/>
          <w:b/>
          <w:sz w:val="36"/>
        </w:rPr>
        <w:t>校准与验收</w:t>
      </w:r>
      <w:bookmarkEnd w:id="28"/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29" w:name="heading_28"/>
      <w:r>
        <w:rPr>
          <w:rFonts w:ascii="Arial" w:hAnsi="Arial" w:eastAsia="等线" w:cs="Arial"/>
          <w:color w:val="3370ff"/>
          <w:sz w:val="32"/>
        </w:rPr>
        <w:t xml:space="preserve">8.1 </w:t>
      </w:r>
      <w:r>
        <w:rPr>
          <w:rFonts w:ascii="Arial" w:hAnsi="Arial" w:eastAsia="等线" w:cs="Arial"/>
          <w:b/>
          <w:sz w:val="32"/>
        </w:rPr>
        <w:t>出厂校准</w:t>
      </w:r>
      <w:bookmarkEnd w:id="29"/>
    </w:p>
    <w:p>
      <w:pPr>
        <w:numPr>
          <w:ilvl w:val="0"/>
          <w:numId w:val="10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设备出厂前须在 ISO/IEC 17025 认可的校准实验室完成精度校准</w:t>
      </w:r>
    </w:p>
    <w:p>
      <w:pPr>
        <w:numPr>
          <w:ilvl w:val="0"/>
          <w:numId w:val="10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须提供出厂校准证书，校准依据为 VDI/VDE 2634 或 ISO 10360-13 标准</w:t>
      </w:r>
    </w:p>
    <w:p>
      <w:pPr>
        <w:numPr>
          <w:ilvl w:val="0"/>
          <w:numId w:val="10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校准证书须包含单帧精度、体积精度、重复性等关键指标的实测数据</w:t>
      </w:r>
    </w:p>
    <w:p>
      <w:pPr>
        <w:numPr>
          <w:ilvl w:val="0"/>
          <w:numId w:val="10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校准证书须可溯源至国家或国际长度标准</w:t>
      </w:r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30" w:name="heading_29"/>
      <w:r>
        <w:rPr>
          <w:rFonts w:ascii="Arial" w:hAnsi="Arial" w:eastAsia="等线" w:cs="Arial"/>
          <w:color w:val="3370ff"/>
          <w:sz w:val="32"/>
        </w:rPr>
        <w:t xml:space="preserve">8.2 </w:t>
      </w:r>
      <w:r>
        <w:rPr>
          <w:rFonts w:ascii="Arial" w:hAnsi="Arial" w:eastAsia="等线" w:cs="Arial"/>
          <w:b/>
          <w:sz w:val="32"/>
        </w:rPr>
        <w:t>到货验收</w:t>
      </w:r>
      <w:bookmarkEnd w:id="30"/>
    </w:p>
    <w:p>
      <w:pPr>
        <w:spacing w:before="120" w:after="120" w:line="288" w:lineRule="auto"/>
        <w:ind w:left="0"/>
        <w:jc w:val="left"/>
        <w:rPr/>
      </w:pPr>
      <w:r>
        <w:rPr>
          <w:rFonts w:ascii="Arial" w:hAnsi="Arial" w:eastAsia="等线" w:cs="Arial"/>
          <w:sz w:val="22"/>
        </w:rPr>
        <w:t>设备到货后，采购方将按以下项目进行验收，全部合格后方可签署验收报告：</w:t>
      </w:r>
    </w:p>
    <w:p>
      <w:pPr>
        <w:pStyle w:val="0000c7"/>
        <w:spacing w:before="300" w:after="120" w:line="288" w:lineRule="auto"/>
        <w:ind w:left="0"/>
        <w:jc w:val="left"/>
        <w:outlineLvl w:val="2"/>
        <w:rPr/>
      </w:pPr>
      <w:bookmarkStart w:id="31" w:name="heading_30"/>
      <w:r>
        <w:rPr>
          <w:rFonts w:ascii="Arial" w:hAnsi="Arial" w:eastAsia="等线" w:cs="Arial"/>
          <w:color w:val="3370ff"/>
          <w:sz w:val="30"/>
        </w:rPr>
        <w:t xml:space="preserve">8.2.1 </w:t>
      </w:r>
      <w:r>
        <w:rPr>
          <w:rFonts w:ascii="Arial" w:hAnsi="Arial" w:eastAsia="等线" w:cs="Arial"/>
          <w:b/>
          <w:sz w:val="30"/>
        </w:rPr>
        <w:t>外观与包装检查</w:t>
      </w:r>
      <w:bookmarkEnd w:id="31"/>
    </w:p>
    <w:p>
      <w:pPr>
        <w:numPr>
          <w:ilvl w:val="0"/>
          <w:numId w:val="11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包装完好，无破损、受潮迹象</w:t>
      </w:r>
    </w:p>
    <w:p>
      <w:pPr>
        <w:numPr>
          <w:ilvl w:val="0"/>
          <w:numId w:val="11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设备外观无划痕、变形、松动等缺陷</w:t>
      </w:r>
    </w:p>
    <w:p>
      <w:pPr>
        <w:numPr>
          <w:ilvl w:val="0"/>
          <w:numId w:val="11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附件、备件、文档齐全，与装箱单一致</w:t>
      </w:r>
    </w:p>
    <w:p>
      <w:pPr>
        <w:pStyle w:val="0000c7"/>
        <w:spacing w:before="300" w:after="120" w:line="288" w:lineRule="auto"/>
        <w:ind w:left="0"/>
        <w:jc w:val="left"/>
        <w:outlineLvl w:val="2"/>
        <w:rPr/>
      </w:pPr>
      <w:bookmarkStart w:id="32" w:name="heading_31"/>
      <w:r>
        <w:rPr>
          <w:rFonts w:ascii="Arial" w:hAnsi="Arial" w:eastAsia="等线" w:cs="Arial"/>
          <w:color w:val="3370ff"/>
          <w:sz w:val="30"/>
        </w:rPr>
        <w:t xml:space="preserve">8.2.2 </w:t>
      </w:r>
      <w:r>
        <w:rPr>
          <w:rFonts w:ascii="Arial" w:hAnsi="Arial" w:eastAsia="等线" w:cs="Arial"/>
          <w:b/>
          <w:sz w:val="30"/>
        </w:rPr>
        <w:t>功能验收</w:t>
      </w:r>
      <w:bookmarkEnd w:id="32"/>
    </w:p>
    <w:p>
      <w:pPr>
        <w:numPr>
          <w:ilvl w:val="0"/>
          <w:numId w:val="12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设备开机正常，各扫描模式（标准、精细、深孔、免贴点、贴点）均可正常启动和运行</w:t>
      </w:r>
    </w:p>
    <w:p>
      <w:pPr>
        <w:numPr>
          <w:ilvl w:val="0"/>
          <w:numId w:val="12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软件安装正常，各功能模块可正常调用</w:t>
      </w:r>
    </w:p>
    <w:p>
      <w:pPr>
        <w:numPr>
          <w:ilvl w:val="0"/>
          <w:numId w:val="12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数据采集、实时显示、拼接、存储、导出功能正常</w:t>
      </w:r>
    </w:p>
    <w:p>
      <w:pPr>
        <w:numPr>
          <w:ilvl w:val="0"/>
          <w:numId w:val="12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免贴点模式可正常完成定位与扫描，无需粘贴标记点</w:t>
      </w:r>
    </w:p>
    <w:p>
      <w:pPr>
        <w:pStyle w:val="0000c7"/>
        <w:spacing w:before="300" w:after="120" w:line="288" w:lineRule="auto"/>
        <w:ind w:left="0"/>
        <w:jc w:val="left"/>
        <w:outlineLvl w:val="2"/>
        <w:rPr/>
      </w:pPr>
      <w:bookmarkStart w:id="33" w:name="heading_32"/>
      <w:r>
        <w:rPr>
          <w:rFonts w:ascii="Arial" w:hAnsi="Arial" w:eastAsia="等线" w:cs="Arial"/>
          <w:color w:val="3370ff"/>
          <w:sz w:val="30"/>
        </w:rPr>
        <w:t xml:space="preserve">8.2.3 </w:t>
      </w:r>
      <w:r>
        <w:rPr>
          <w:rFonts w:ascii="Arial" w:hAnsi="Arial" w:eastAsia="等线" w:cs="Arial"/>
          <w:b/>
          <w:sz w:val="30"/>
        </w:rPr>
        <w:t>精度验收</w:t>
      </w:r>
      <w:bookmarkEnd w:id="33"/>
    </w:p>
    <w:tbl>
      <w:tblPr>
        <w:tblW w:w="0" w:type="auto"/>
        <w:tblInd w:w="0" w:type="dxa"/>
        <w:tblBorders>
          <w:top w:val="single" w:color="CBCDD1" w:sz="6"/>
          <w:left w:val="single" w:color="CBCDD1" w:sz="6"/>
          <w:bottom w:val="single" w:color="CBCDD1" w:sz="6"/>
          <w:right w:val="single" w:color="CBCDD1" w:sz="6"/>
          <w:insideH w:val="single" w:color="CBCDD1" w:sz="6"/>
          <w:insideV w:val="single" w:color="CBCDD1" w:sz="6"/>
        </w:tblBorders>
        <w:tblLayout w:type="fixed"/>
      </w:tblPr>
      <w:tblGrid>
        <w:gridCol w:w="4120"/>
        <w:gridCol w:w="3740"/>
        <w:gridCol w:w="3740"/>
        <w:gridCol w:w="3361"/>
      </w:tblGrid>
      <w:tr>
        <w:trPr>
          <w:trHeight w:val="406" w:hRule="atLeast"/>
        </w:trPr>
        <w:tc>
          <w:tcPr>
            <w:tcW w:w="41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验收项目</w:t>
            </w:r>
          </w:p>
        </w:tc>
        <w:tc>
          <w:tcPr>
            <w:tcW w:w="37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标准器具</w:t>
            </w:r>
          </w:p>
        </w:tc>
        <w:tc>
          <w:tcPr>
            <w:tcW w:w="37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合格判据</w:t>
            </w:r>
          </w:p>
        </w:tc>
        <w:tc>
          <w:tcPr>
            <w:tcW w:w="33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要求级别</w:t>
            </w:r>
          </w:p>
        </w:tc>
      </w:tr>
      <w:tr>
        <w:trPr>
          <w:trHeight w:val="406" w:hRule="atLeast"/>
        </w:trPr>
        <w:tc>
          <w:tcPr>
            <w:tcW w:w="41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单帧精度</w:t>
            </w:r>
          </w:p>
        </w:tc>
        <w:tc>
          <w:tcPr>
            <w:tcW w:w="37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标准球棒（经校准）</w:t>
            </w:r>
          </w:p>
        </w:tc>
        <w:tc>
          <w:tcPr>
            <w:tcW w:w="37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≤ 0.030 mm</w:t>
            </w:r>
          </w:p>
        </w:tc>
        <w:tc>
          <w:tcPr>
            <w:tcW w:w="33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</w:tr>
      <w:tr>
        <w:trPr>
          <w:trHeight w:val="442" w:hRule="atLeast"/>
        </w:trPr>
        <w:tc>
          <w:tcPr>
            <w:tcW w:w="41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体积精度</w:t>
            </w:r>
          </w:p>
        </w:tc>
        <w:tc>
          <w:tcPr>
            <w:tcW w:w="37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标准球板或球棒（不同长度）</w:t>
            </w:r>
          </w:p>
        </w:tc>
        <w:tc>
          <w:tcPr>
            <w:tcW w:w="37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≤ 0.020 mm + 0.040 mm/m</w:t>
            </w:r>
          </w:p>
        </w:tc>
        <w:tc>
          <w:tcPr>
            <w:tcW w:w="33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</w:tr>
      <w:tr>
        <w:trPr>
          <w:trHeight w:val="406" w:hRule="atLeast"/>
        </w:trPr>
        <w:tc>
          <w:tcPr>
            <w:tcW w:w="41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免贴点模式精度</w:t>
            </w:r>
          </w:p>
        </w:tc>
        <w:tc>
          <w:tcPr>
            <w:tcW w:w="37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标准球棒</w:t>
            </w:r>
          </w:p>
        </w:tc>
        <w:tc>
          <w:tcPr>
            <w:tcW w:w="37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≤ 0.050 mm</w:t>
            </w:r>
          </w:p>
        </w:tc>
        <w:tc>
          <w:tcPr>
            <w:tcW w:w="33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</w:tr>
      <w:tr>
        <w:trPr>
          <w:trHeight w:val="442" w:hRule="atLeast"/>
        </w:trPr>
        <w:tc>
          <w:tcPr>
            <w:tcW w:w="41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重复性</w:t>
            </w:r>
          </w:p>
        </w:tc>
        <w:tc>
          <w:tcPr>
            <w:tcW w:w="37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标准球（重复测量10次）</w:t>
            </w:r>
          </w:p>
        </w:tc>
        <w:tc>
          <w:tcPr>
            <w:tcW w:w="37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标准差 ≤ 0.015 mm</w:t>
            </w:r>
          </w:p>
        </w:tc>
        <w:tc>
          <w:tcPr>
            <w:tcW w:w="33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必须</w:t>
            </w:r>
          </w:p>
        </w:tc>
      </w:tr>
    </w:tbl>
    <w:p>
      <w:pPr>
        <w:spacing w:before="120" w:after="120" w:line="288" w:lineRule="auto"/>
        <w:ind w:left="0"/>
        <w:jc w:val="left"/>
        <w:rPr/>
      </w:pPr>
      <w:r>
        <w:rPr>
          <w:rFonts w:ascii="Arial" w:hAnsi="Arial" w:eastAsia="等线" w:cs="Arial"/>
          <w:sz w:val="22"/>
        </w:rPr>
        <w:t>精度验收须在采购方现场，由供应商技术人员操作，采购方人员见证。验收所用标准器具须具备有效校准证书。</w:t>
      </w:r>
    </w:p>
    <w:p>
      <w:pPr>
        <w:pStyle w:val="0000c7"/>
        <w:spacing w:before="300" w:after="120" w:line="288" w:lineRule="auto"/>
        <w:ind w:left="0"/>
        <w:jc w:val="left"/>
        <w:outlineLvl w:val="2"/>
        <w:rPr/>
      </w:pPr>
      <w:bookmarkStart w:id="34" w:name="heading_33"/>
      <w:r>
        <w:rPr>
          <w:rFonts w:ascii="Arial" w:hAnsi="Arial" w:eastAsia="等线" w:cs="Arial"/>
          <w:color w:val="3370ff"/>
          <w:sz w:val="30"/>
        </w:rPr>
        <w:t xml:space="preserve">8.2.4 </w:t>
      </w:r>
      <w:r>
        <w:rPr>
          <w:rFonts w:ascii="Arial" w:hAnsi="Arial" w:eastAsia="等线" w:cs="Arial"/>
          <w:b/>
          <w:sz w:val="30"/>
        </w:rPr>
        <w:t>扫描能力验收</w:t>
      </w:r>
      <w:bookmarkEnd w:id="34"/>
    </w:p>
    <w:p>
      <w:pPr>
        <w:numPr>
          <w:ilvl w:val="0"/>
          <w:numId w:val="13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使用采购方提供的典型工件（含平面、曲面、孔、槽、深腔等特征）进行扫描</w:t>
      </w:r>
    </w:p>
    <w:p>
      <w:pPr>
        <w:numPr>
          <w:ilvl w:val="0"/>
          <w:numId w:val="13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免贴点模式下完成完整扫描，点云无明显缺失、错位或拼接偏差</w:t>
      </w:r>
    </w:p>
    <w:p>
      <w:pPr>
        <w:numPr>
          <w:ilvl w:val="0"/>
          <w:numId w:val="13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扫描数据与 CAD 模型比对，整体偏差在工件公差要求范围内</w:t>
      </w:r>
    </w:p>
    <w:p>
      <w:pPr>
        <w:numPr>
          <w:ilvl w:val="0"/>
          <w:numId w:val="13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高反光材质（如抛光金属）和深色材质可正常扫描（或经供应商提供的标准处理方法后可正常扫描）</w:t>
      </w:r>
    </w:p>
    <w:p>
      <w:pPr>
        <w:pStyle w:val="0000c5"/>
        <w:spacing w:before="380" w:after="140" w:line="288" w:lineRule="auto"/>
        <w:ind w:left="0"/>
        <w:jc w:val="left"/>
        <w:outlineLvl w:val="0"/>
        <w:rPr/>
      </w:pPr>
      <w:bookmarkStart w:id="35" w:name="heading_34"/>
      <w:r>
        <w:rPr>
          <w:rFonts w:ascii="Arial" w:hAnsi="Arial" w:eastAsia="等线" w:cs="Arial"/>
          <w:color w:val="3370ff"/>
          <w:sz w:val="36"/>
        </w:rPr>
        <w:t xml:space="preserve">9. </w:t>
      </w:r>
      <w:r>
        <w:rPr>
          <w:rFonts w:ascii="Arial" w:hAnsi="Arial" w:eastAsia="等线" w:cs="Arial"/>
          <w:b/>
          <w:sz w:val="36"/>
        </w:rPr>
        <w:t>交付要求</w:t>
      </w:r>
      <w:bookmarkEnd w:id="35"/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36" w:name="heading_35"/>
      <w:r>
        <w:rPr>
          <w:rFonts w:ascii="Arial" w:hAnsi="Arial" w:eastAsia="等线" w:cs="Arial"/>
          <w:color w:val="3370ff"/>
          <w:sz w:val="32"/>
        </w:rPr>
        <w:t xml:space="preserve">9.1 </w:t>
      </w:r>
      <w:r>
        <w:rPr>
          <w:rFonts w:ascii="Arial" w:hAnsi="Arial" w:eastAsia="等线" w:cs="Arial"/>
          <w:b/>
          <w:sz w:val="32"/>
        </w:rPr>
        <w:t>交付清单</w:t>
      </w:r>
      <w:bookmarkEnd w:id="36"/>
    </w:p>
    <w:tbl>
      <w:tblPr>
        <w:tblW w:w="0" w:type="auto"/>
        <w:tblInd w:w="0" w:type="dxa"/>
        <w:tblBorders>
          <w:top w:val="single" w:color="CBCDD1" w:sz="6"/>
          <w:left w:val="single" w:color="CBCDD1" w:sz="6"/>
          <w:bottom w:val="single" w:color="CBCDD1" w:sz="6"/>
          <w:right w:val="single" w:color="CBCDD1" w:sz="6"/>
          <w:insideH w:val="single" w:color="CBCDD1" w:sz="6"/>
          <w:insideV w:val="single" w:color="CBCDD1" w:sz="6"/>
        </w:tblBorders>
        <w:tblLayout w:type="fixed"/>
      </w:tblPr>
      <w:tblGrid>
        <w:gridCol w:w="1435"/>
        <w:gridCol w:w="5366"/>
        <w:gridCol w:w="1780"/>
        <w:gridCol w:w="6082"/>
      </w:tblGrid>
      <w:tr>
        <w:trPr>
          <w:trHeight w:val="493" w:hRule="atLeast"/>
        </w:trPr>
        <w:tc>
          <w:tcPr>
            <w:tcW w:w="14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53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名称</w:t>
            </w:r>
          </w:p>
        </w:tc>
        <w:tc>
          <w:tcPr>
            <w:tcW w:w="17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数量</w:t>
            </w:r>
          </w:p>
        </w:tc>
        <w:tc>
          <w:tcPr>
            <w:tcW w:w="60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>
        <w:trPr>
          <w:trHeight w:val="493" w:hRule="atLeast"/>
        </w:trPr>
        <w:tc>
          <w:tcPr>
            <w:tcW w:w="14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53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三维扫描仪主机</w:t>
            </w:r>
          </w:p>
        </w:tc>
        <w:tc>
          <w:tcPr>
            <w:tcW w:w="17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1 台</w:t>
            </w:r>
          </w:p>
        </w:tc>
        <w:tc>
          <w:tcPr>
            <w:tcW w:w="60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含免贴点扫描功能</w:t>
            </w:r>
          </w:p>
        </w:tc>
      </w:tr>
      <w:tr>
        <w:trPr>
          <w:trHeight w:val="493" w:hRule="atLeast"/>
        </w:trPr>
        <w:tc>
          <w:tcPr>
            <w:tcW w:w="14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53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跟踪系统（如适用）</w:t>
            </w:r>
          </w:p>
        </w:tc>
        <w:tc>
          <w:tcPr>
            <w:tcW w:w="17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1 套</w:t>
            </w:r>
          </w:p>
        </w:tc>
        <w:tc>
          <w:tcPr>
            <w:tcW w:w="60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跟踪式方案标配</w:t>
            </w:r>
          </w:p>
        </w:tc>
      </w:tr>
      <w:tr>
        <w:trPr>
          <w:trHeight w:val="493" w:hRule="atLeast"/>
        </w:trPr>
        <w:tc>
          <w:tcPr>
            <w:tcW w:w="14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53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扫描控制软件</w:t>
            </w:r>
          </w:p>
        </w:tc>
        <w:tc>
          <w:tcPr>
            <w:tcW w:w="17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1 套</w:t>
            </w:r>
          </w:p>
        </w:tc>
        <w:tc>
          <w:tcPr>
            <w:tcW w:w="60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永久授权</w:t>
            </w:r>
          </w:p>
        </w:tc>
      </w:tr>
      <w:tr>
        <w:trPr>
          <w:trHeight w:val="493" w:hRule="atLeast"/>
        </w:trPr>
        <w:tc>
          <w:tcPr>
            <w:tcW w:w="14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53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点云处理与检测软件</w:t>
            </w:r>
          </w:p>
        </w:tc>
        <w:tc>
          <w:tcPr>
            <w:tcW w:w="17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1 套</w:t>
            </w:r>
          </w:p>
        </w:tc>
        <w:tc>
          <w:tcPr>
            <w:tcW w:w="60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永久授权，含检测分析模块</w:t>
            </w:r>
          </w:p>
        </w:tc>
      </w:tr>
      <w:tr>
        <w:trPr>
          <w:trHeight w:val="493" w:hRule="atLeast"/>
        </w:trPr>
        <w:tc>
          <w:tcPr>
            <w:tcW w:w="14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53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电源适配器及线缆</w:t>
            </w:r>
          </w:p>
        </w:tc>
        <w:tc>
          <w:tcPr>
            <w:tcW w:w="17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1 套</w:t>
            </w:r>
          </w:p>
        </w:tc>
        <w:tc>
          <w:tcPr>
            <w:tcW w:w="60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含数据线、电源线</w:t>
            </w:r>
          </w:p>
        </w:tc>
      </w:tr>
      <w:tr>
        <w:trPr>
          <w:trHeight w:val="493" w:hRule="atLeast"/>
        </w:trPr>
        <w:tc>
          <w:tcPr>
            <w:tcW w:w="14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6</w:t>
            </w:r>
          </w:p>
        </w:tc>
        <w:tc>
          <w:tcPr>
            <w:tcW w:w="53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标准校准器具</w:t>
            </w:r>
          </w:p>
        </w:tc>
        <w:tc>
          <w:tcPr>
            <w:tcW w:w="17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1 套</w:t>
            </w:r>
          </w:p>
        </w:tc>
        <w:tc>
          <w:tcPr>
            <w:tcW w:w="60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含标准球棒/球板，带校准证书</w:t>
            </w:r>
          </w:p>
        </w:tc>
      </w:tr>
      <w:tr>
        <w:trPr>
          <w:trHeight w:val="493" w:hRule="atLeast"/>
        </w:trPr>
        <w:tc>
          <w:tcPr>
            <w:tcW w:w="14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7</w:t>
            </w:r>
          </w:p>
        </w:tc>
        <w:tc>
          <w:tcPr>
            <w:tcW w:w="53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标记点（贴点模式用）</w:t>
            </w:r>
          </w:p>
        </w:tc>
        <w:tc>
          <w:tcPr>
            <w:tcW w:w="17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若干</w:t>
            </w:r>
          </w:p>
        </w:tc>
        <w:tc>
          <w:tcPr>
            <w:tcW w:w="60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提供初始用量</w:t>
            </w:r>
          </w:p>
        </w:tc>
      </w:tr>
      <w:tr>
        <w:trPr>
          <w:trHeight w:val="493" w:hRule="atLeast"/>
        </w:trPr>
        <w:tc>
          <w:tcPr>
            <w:tcW w:w="14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8</w:t>
            </w:r>
          </w:p>
        </w:tc>
        <w:tc>
          <w:tcPr>
            <w:tcW w:w="53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便携防护箱</w:t>
            </w:r>
          </w:p>
        </w:tc>
        <w:tc>
          <w:tcPr>
            <w:tcW w:w="17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1 个</w:t>
            </w:r>
          </w:p>
        </w:tc>
        <w:tc>
          <w:tcPr>
            <w:tcW w:w="60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防震、防潮，适合运输与存储</w:t>
            </w:r>
          </w:p>
        </w:tc>
      </w:tr>
      <w:tr>
        <w:trPr>
          <w:trHeight w:val="593" w:hRule="atLeast"/>
        </w:trPr>
        <w:tc>
          <w:tcPr>
            <w:tcW w:w="14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9</w:t>
            </w:r>
          </w:p>
        </w:tc>
        <w:tc>
          <w:tcPr>
            <w:tcW w:w="53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技术文档</w:t>
            </w:r>
          </w:p>
        </w:tc>
        <w:tc>
          <w:tcPr>
            <w:tcW w:w="17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1 套</w:t>
            </w:r>
          </w:p>
        </w:tc>
        <w:tc>
          <w:tcPr>
            <w:tcW w:w="60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含用户手册、操作指南、维护手册、校准证书、合格证</w:t>
            </w:r>
          </w:p>
        </w:tc>
      </w:tr>
      <w:tr>
        <w:trPr>
          <w:trHeight w:val="493" w:hRule="atLeast"/>
        </w:trPr>
        <w:tc>
          <w:tcPr>
            <w:tcW w:w="14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10</w:t>
            </w:r>
          </w:p>
        </w:tc>
        <w:tc>
          <w:tcPr>
            <w:tcW w:w="53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备用件</w:t>
            </w:r>
          </w:p>
        </w:tc>
        <w:tc>
          <w:tcPr>
            <w:tcW w:w="17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1 套</w:t>
            </w:r>
          </w:p>
        </w:tc>
        <w:tc>
          <w:tcPr>
            <w:tcW w:w="60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/>
            </w:pPr>
            <w:r>
              <w:rPr>
                <w:rFonts w:ascii="Arial" w:hAnsi="Arial" w:eastAsia="等线" w:cs="Arial"/>
                <w:sz w:val="22"/>
              </w:rPr>
              <w:t>含易损件（如保护镜片等）</w:t>
            </w:r>
          </w:p>
        </w:tc>
      </w:tr>
    </w:tbl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37" w:name="heading_36"/>
      <w:r>
        <w:rPr>
          <w:rFonts w:ascii="Arial" w:hAnsi="Arial" w:eastAsia="等线" w:cs="Arial"/>
          <w:color w:val="3370ff"/>
          <w:sz w:val="32"/>
        </w:rPr>
        <w:t xml:space="preserve">9.2 </w:t>
      </w:r>
      <w:r>
        <w:rPr>
          <w:rFonts w:ascii="Arial" w:hAnsi="Arial" w:eastAsia="等线" w:cs="Arial"/>
          <w:b/>
          <w:sz w:val="32"/>
        </w:rPr>
        <w:t>交付时间</w:t>
      </w:r>
      <w:bookmarkEnd w:id="37"/>
    </w:p>
    <w:p>
      <w:pPr>
        <w:spacing w:before="120" w:after="120" w:line="288" w:lineRule="auto"/>
        <w:ind w:left="0"/>
        <w:jc w:val="left"/>
        <w:rPr/>
      </w:pPr>
      <w:r>
        <w:rPr>
          <w:rFonts w:ascii="Arial" w:hAnsi="Arial" w:eastAsia="等线" w:cs="Arial"/>
          <w:sz w:val="22"/>
        </w:rPr>
        <w:t>合同签订后 ≤ 45 个日历日内完成到货、安装调试及验收。</w:t>
      </w:r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38" w:name="heading_37"/>
      <w:r>
        <w:rPr>
          <w:rFonts w:ascii="Arial" w:hAnsi="Arial" w:eastAsia="等线" w:cs="Arial"/>
          <w:color w:val="3370ff"/>
          <w:sz w:val="32"/>
        </w:rPr>
        <w:t xml:space="preserve">9.3 </w:t>
      </w:r>
      <w:r>
        <w:rPr>
          <w:rFonts w:ascii="Arial" w:hAnsi="Arial" w:eastAsia="等线" w:cs="Arial"/>
          <w:b/>
          <w:sz w:val="32"/>
        </w:rPr>
        <w:t>交付地点</w:t>
      </w:r>
      <w:bookmarkEnd w:id="38"/>
    </w:p>
    <w:p>
      <w:pPr>
        <w:spacing w:before="120" w:after="120" w:line="288" w:lineRule="auto"/>
        <w:ind w:left="0"/>
        <w:jc w:val="left"/>
        <w:rPr/>
      </w:pPr>
      <w:r>
        <w:rPr>
          <w:rFonts w:ascii="Arial" w:hAnsi="Arial" w:eastAsia="等线" w:cs="Arial"/>
          <w:sz w:val="22"/>
        </w:rPr>
        <w:t>采购方指定地点（国内）。</w:t>
      </w:r>
    </w:p>
    <w:p>
      <w:pPr>
        <w:pStyle w:val="0000c5"/>
        <w:spacing w:before="380" w:after="140" w:line="288" w:lineRule="auto"/>
        <w:ind w:left="0"/>
        <w:jc w:val="left"/>
        <w:outlineLvl w:val="0"/>
        <w:rPr/>
      </w:pPr>
      <w:bookmarkStart w:id="39" w:name="heading_38"/>
      <w:r>
        <w:rPr>
          <w:rFonts w:ascii="Arial" w:hAnsi="Arial" w:eastAsia="等线" w:cs="Arial"/>
          <w:color w:val="3370ff"/>
          <w:sz w:val="36"/>
        </w:rPr>
        <w:t xml:space="preserve">10. </w:t>
      </w:r>
      <w:r>
        <w:rPr>
          <w:rFonts w:ascii="Arial" w:hAnsi="Arial" w:eastAsia="等线" w:cs="Arial"/>
          <w:b/>
          <w:sz w:val="36"/>
        </w:rPr>
        <w:t>培训与技术支持</w:t>
      </w:r>
      <w:bookmarkEnd w:id="39"/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40" w:name="heading_39"/>
      <w:r>
        <w:rPr>
          <w:rFonts w:ascii="Arial" w:hAnsi="Arial" w:eastAsia="等线" w:cs="Arial"/>
          <w:color w:val="3370ff"/>
          <w:sz w:val="32"/>
        </w:rPr>
        <w:t xml:space="preserve">10.1 </w:t>
      </w:r>
      <w:r>
        <w:rPr>
          <w:rFonts w:ascii="Arial" w:hAnsi="Arial" w:eastAsia="等线" w:cs="Arial"/>
          <w:b/>
          <w:sz w:val="32"/>
        </w:rPr>
        <w:t>现场培训</w:t>
      </w:r>
      <w:bookmarkEnd w:id="40"/>
    </w:p>
    <w:p>
      <w:pPr>
        <w:numPr>
          <w:ilvl w:val="0"/>
          <w:numId w:val="14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供应商须在设备安装调试期间提供现场培训，培训时长不少于 2 个工作日</w:t>
      </w:r>
    </w:p>
    <w:p>
      <w:pPr>
        <w:numPr>
          <w:ilvl w:val="0"/>
          <w:numId w:val="14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培训内容包括：设备原理、操作规范、扫描技巧（含免贴点模式）、软件使用、数据处理、检测分析、日常维护、常见故障排除</w:t>
      </w:r>
    </w:p>
    <w:p>
      <w:pPr>
        <w:numPr>
          <w:ilvl w:val="0"/>
          <w:numId w:val="14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培训对象为采购方指定的操作人员及技术人员，人数不少于 3 人</w:t>
      </w:r>
    </w:p>
    <w:p>
      <w:pPr>
        <w:numPr>
          <w:ilvl w:val="0"/>
          <w:numId w:val="14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培训结束后须进行操作考核，确保受训人员能够独立完成扫描及检测工作</w:t>
      </w:r>
    </w:p>
    <w:p>
      <w:pPr>
        <w:numPr>
          <w:ilvl w:val="0"/>
          <w:numId w:val="14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须提供中文培训教材</w:t>
      </w:r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41" w:name="heading_40"/>
      <w:r>
        <w:rPr>
          <w:rFonts w:ascii="Arial" w:hAnsi="Arial" w:eastAsia="等线" w:cs="Arial"/>
          <w:color w:val="3370ff"/>
          <w:sz w:val="32"/>
        </w:rPr>
        <w:t xml:space="preserve">10.2 </w:t>
      </w:r>
      <w:r>
        <w:rPr>
          <w:rFonts w:ascii="Arial" w:hAnsi="Arial" w:eastAsia="等线" w:cs="Arial"/>
          <w:b/>
          <w:sz w:val="32"/>
        </w:rPr>
        <w:t>技术支持</w:t>
      </w:r>
      <w:bookmarkEnd w:id="41"/>
    </w:p>
    <w:p>
      <w:pPr>
        <w:numPr>
          <w:ilvl w:val="0"/>
          <w:numId w:val="15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提供 7×24 小时电话/远程技术支持服务</w:t>
      </w:r>
    </w:p>
    <w:p>
      <w:pPr>
        <w:numPr>
          <w:ilvl w:val="0"/>
          <w:numId w:val="15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远程支持响应时间 ≤ 2 小时</w:t>
      </w:r>
    </w:p>
    <w:p>
      <w:pPr>
        <w:numPr>
          <w:ilvl w:val="0"/>
          <w:numId w:val="15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如需现场服务，到达现场时间 ≤ 48 小时（国内主要城市）</w:t>
      </w:r>
    </w:p>
    <w:p>
      <w:pPr>
        <w:numPr>
          <w:ilvl w:val="0"/>
          <w:numId w:val="15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提供软件远程升级及技术咨询服务</w:t>
      </w:r>
    </w:p>
    <w:p>
      <w:pPr>
        <w:pStyle w:val="0000c5"/>
        <w:spacing w:before="380" w:after="140" w:line="288" w:lineRule="auto"/>
        <w:ind w:left="0"/>
        <w:jc w:val="left"/>
        <w:outlineLvl w:val="0"/>
        <w:rPr/>
      </w:pPr>
      <w:bookmarkStart w:id="42" w:name="heading_41"/>
      <w:r>
        <w:rPr>
          <w:rFonts w:ascii="Arial" w:hAnsi="Arial" w:eastAsia="等线" w:cs="Arial"/>
          <w:color w:val="3370ff"/>
          <w:sz w:val="36"/>
        </w:rPr>
        <w:t xml:space="preserve">11. </w:t>
      </w:r>
      <w:r>
        <w:rPr>
          <w:rFonts w:ascii="Arial" w:hAnsi="Arial" w:eastAsia="等线" w:cs="Arial"/>
          <w:b/>
          <w:sz w:val="36"/>
        </w:rPr>
        <w:t>质保与售后服务</w:t>
      </w:r>
      <w:bookmarkEnd w:id="42"/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43" w:name="heading_42"/>
      <w:r>
        <w:rPr>
          <w:rFonts w:ascii="Arial" w:hAnsi="Arial" w:eastAsia="等线" w:cs="Arial"/>
          <w:color w:val="3370ff"/>
          <w:sz w:val="32"/>
        </w:rPr>
        <w:t xml:space="preserve">11.1 </w:t>
      </w:r>
      <w:r>
        <w:rPr>
          <w:rFonts w:ascii="Arial" w:hAnsi="Arial" w:eastAsia="等线" w:cs="Arial"/>
          <w:b/>
          <w:sz w:val="32"/>
        </w:rPr>
        <w:t>质保期</w:t>
      </w:r>
      <w:bookmarkEnd w:id="43"/>
    </w:p>
    <w:p>
      <w:pPr>
        <w:numPr>
          <w:ilvl w:val="0"/>
          <w:numId w:val="16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整机质保期 ≥ 2 年，自验收合格之日起计算</w:t>
      </w:r>
    </w:p>
    <w:p>
      <w:pPr>
        <w:numPr>
          <w:ilvl w:val="0"/>
          <w:numId w:val="16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激光器质保期 ≥ 2 年</w:t>
      </w:r>
    </w:p>
    <w:p>
      <w:pPr>
        <w:numPr>
          <w:ilvl w:val="0"/>
          <w:numId w:val="16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软件质保期内免费升级（大版本升级除外，须明确说明）</w:t>
      </w:r>
    </w:p>
    <w:p>
      <w:pPr>
        <w:numPr>
          <w:ilvl w:val="0"/>
          <w:numId w:val="16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质保期内非人为损坏的故障，免费维修或更换零部件</w:t>
      </w:r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44" w:name="heading_43"/>
      <w:r>
        <w:rPr>
          <w:rFonts w:ascii="Arial" w:hAnsi="Arial" w:eastAsia="等线" w:cs="Arial"/>
          <w:color w:val="3370ff"/>
          <w:sz w:val="32"/>
        </w:rPr>
        <w:t xml:space="preserve">11.2 </w:t>
      </w:r>
      <w:r>
        <w:rPr>
          <w:rFonts w:ascii="Arial" w:hAnsi="Arial" w:eastAsia="等线" w:cs="Arial"/>
          <w:b/>
          <w:sz w:val="32"/>
        </w:rPr>
        <w:t>维修服务</w:t>
      </w:r>
      <w:bookmarkEnd w:id="44"/>
    </w:p>
    <w:p>
      <w:pPr>
        <w:numPr>
          <w:ilvl w:val="0"/>
          <w:numId w:val="17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质保期外提供终身维修服务，仅收取成本费用</w:t>
      </w:r>
    </w:p>
    <w:p>
      <w:pPr>
        <w:numPr>
          <w:ilvl w:val="0"/>
          <w:numId w:val="17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常用备件供应保障期 ≥ 8 年</w:t>
      </w:r>
    </w:p>
    <w:p>
      <w:pPr>
        <w:numPr>
          <w:ilvl w:val="0"/>
          <w:numId w:val="17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维修周期 ≤ 7 个工作日（不含运输时间）</w:t>
      </w:r>
    </w:p>
    <w:p>
      <w:pPr>
        <w:numPr>
          <w:ilvl w:val="0"/>
          <w:numId w:val="17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如设备无法在规定时间内修复，须提供备用机或替代方案</w:t>
      </w:r>
    </w:p>
    <w:p>
      <w:pPr>
        <w:pStyle w:val="0000c6"/>
        <w:spacing w:before="320" w:after="120" w:line="288" w:lineRule="auto"/>
        <w:ind w:left="0"/>
        <w:jc w:val="left"/>
        <w:outlineLvl w:val="1"/>
        <w:rPr/>
      </w:pPr>
      <w:bookmarkStart w:id="45" w:name="heading_44"/>
      <w:r>
        <w:rPr>
          <w:rFonts w:ascii="Arial" w:hAnsi="Arial" w:eastAsia="等线" w:cs="Arial"/>
          <w:color w:val="3370ff"/>
          <w:sz w:val="32"/>
        </w:rPr>
        <w:t xml:space="preserve">11.3 </w:t>
      </w:r>
      <w:r>
        <w:rPr>
          <w:rFonts w:ascii="Arial" w:hAnsi="Arial" w:eastAsia="等线" w:cs="Arial"/>
          <w:b/>
          <w:sz w:val="32"/>
        </w:rPr>
        <w:t>周期校准</w:t>
      </w:r>
      <w:bookmarkEnd w:id="45"/>
    </w:p>
    <w:p>
      <w:pPr>
        <w:numPr>
          <w:ilvl w:val="0"/>
          <w:numId w:val="18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建议每年进行一次精度校准，供应商须提供校准服务</w:t>
      </w:r>
    </w:p>
    <w:p>
      <w:pPr>
        <w:numPr>
          <w:ilvl w:val="0"/>
          <w:numId w:val="18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校准服务价格须在报价中单独列明（质保期内至少含1次免费校准）</w:t>
      </w:r>
    </w:p>
    <w:p>
      <w:pPr>
        <w:numPr>
          <w:ilvl w:val="0"/>
          <w:numId w:val="18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校准后须出具可溯源的校准证书</w:t>
      </w:r>
    </w:p>
    <w:p>
      <w:pPr>
        <w:pStyle w:val="0000c5"/>
        <w:spacing w:before="380" w:after="140" w:line="288" w:lineRule="auto"/>
        <w:ind w:left="0"/>
        <w:jc w:val="left"/>
        <w:outlineLvl w:val="0"/>
        <w:rPr/>
      </w:pPr>
      <w:bookmarkStart w:id="46" w:name="heading_45"/>
      <w:r>
        <w:rPr>
          <w:rFonts w:ascii="Arial" w:hAnsi="Arial" w:eastAsia="等线" w:cs="Arial"/>
          <w:color w:val="3370ff"/>
          <w:sz w:val="36"/>
        </w:rPr>
        <w:t xml:space="preserve">12. </w:t>
      </w:r>
      <w:r>
        <w:rPr>
          <w:rFonts w:ascii="Arial" w:hAnsi="Arial" w:eastAsia="等线" w:cs="Arial"/>
          <w:b/>
          <w:sz w:val="36"/>
        </w:rPr>
        <w:t>供应商资质要求</w:t>
      </w:r>
      <w:bookmarkEnd w:id="46"/>
    </w:p>
    <w:p>
      <w:pPr>
        <w:numPr>
          <w:ilvl w:val="0"/>
          <w:numId w:val="19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具有独立法人资格，营业执照经营范围涵盖三维扫描设备或测量仪器的销售/生产</w:t>
      </w:r>
    </w:p>
    <w:p>
      <w:pPr>
        <w:numPr>
          <w:ilvl w:val="0"/>
          <w:numId w:val="19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所投产品须为原厂正品，提供原厂授权或代理证明</w:t>
      </w:r>
    </w:p>
    <w:p>
      <w:pPr>
        <w:numPr>
          <w:ilvl w:val="0"/>
          <w:numId w:val="19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具有同类产品的销售及服务业绩，提供近3年内不少于3个同类设备的成功案例（含用户名称、联系方式、设备型号）</w:t>
      </w:r>
    </w:p>
    <w:p>
      <w:pPr>
        <w:numPr>
          <w:ilvl w:val="0"/>
          <w:numId w:val="19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具有专业的技术服务团队，能够提供安装、培训、维修等本地化服务</w:t>
      </w:r>
    </w:p>
    <w:p>
      <w:pPr>
        <w:numPr>
          <w:ilvl w:val="0"/>
          <w:numId w:val="19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所投产品须具备合法的进口手续（如为进口产品），包括报关单、商检证明等</w:t>
      </w:r>
    </w:p>
    <w:p>
      <w:pPr>
        <w:pStyle w:val="0000c5"/>
        <w:spacing w:before="380" w:after="140" w:line="288" w:lineRule="auto"/>
        <w:ind w:left="0"/>
        <w:jc w:val="left"/>
        <w:outlineLvl w:val="0"/>
        <w:rPr/>
      </w:pPr>
      <w:bookmarkStart w:id="47" w:name="heading_46"/>
      <w:r>
        <w:rPr>
          <w:rFonts w:ascii="Arial" w:hAnsi="Arial" w:eastAsia="等线" w:cs="Arial"/>
          <w:color w:val="3370ff"/>
          <w:sz w:val="36"/>
        </w:rPr>
        <w:t xml:space="preserve">13. </w:t>
      </w:r>
      <w:r>
        <w:rPr>
          <w:rFonts w:ascii="Arial" w:hAnsi="Arial" w:eastAsia="等线" w:cs="Arial"/>
          <w:b/>
          <w:sz w:val="36"/>
        </w:rPr>
        <w:t>报价要求</w:t>
      </w:r>
      <w:bookmarkEnd w:id="47"/>
    </w:p>
    <w:p>
      <w:pPr>
        <w:spacing w:before="120" w:after="120" w:line="288" w:lineRule="auto"/>
        <w:ind w:left="0"/>
        <w:jc w:val="left"/>
        <w:rPr/>
      </w:pPr>
      <w:r>
        <w:rPr>
          <w:rFonts w:ascii="Arial" w:hAnsi="Arial" w:eastAsia="等线" w:cs="Arial"/>
          <w:sz w:val="22"/>
        </w:rPr>
        <w:t>供应商报价须包含以下内容，分项列明：</w:t>
      </w:r>
    </w:p>
    <w:p>
      <w:pPr>
        <w:numPr>
          <w:ilvl w:val="0"/>
          <w:numId w:val="20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设备主机价格</w:t>
      </w:r>
    </w:p>
    <w:p>
      <w:pPr>
        <w:numPr>
          <w:ilvl w:val="0"/>
          <w:numId w:val="20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跟踪系统价格（如适用）</w:t>
      </w:r>
    </w:p>
    <w:p>
      <w:pPr>
        <w:numPr>
          <w:ilvl w:val="0"/>
          <w:numId w:val="20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软件授权价格（列明各模块）</w:t>
      </w:r>
    </w:p>
    <w:p>
      <w:pPr>
        <w:numPr>
          <w:ilvl w:val="0"/>
          <w:numId w:val="20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标准附件及备件价格</w:t>
      </w:r>
    </w:p>
    <w:p>
      <w:pPr>
        <w:numPr>
          <w:ilvl w:val="0"/>
          <w:numId w:val="20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校准器具价格</w:t>
      </w:r>
    </w:p>
    <w:p>
      <w:pPr>
        <w:numPr>
          <w:ilvl w:val="0"/>
          <w:numId w:val="20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运输、保险及安装调试费用</w:t>
      </w:r>
    </w:p>
    <w:p>
      <w:pPr>
        <w:numPr>
          <w:ilvl w:val="0"/>
          <w:numId w:val="20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培训费用</w:t>
      </w:r>
    </w:p>
    <w:p>
      <w:pPr>
        <w:numPr>
          <w:ilvl w:val="0"/>
          <w:numId w:val="20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质保期内服务费用（已含在总价中的须注明）</w:t>
      </w:r>
    </w:p>
    <w:p>
      <w:pPr>
        <w:numPr>
          <w:ilvl w:val="0"/>
          <w:numId w:val="20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质保期外年度维保价格（可选）</w:t>
      </w:r>
    </w:p>
    <w:p>
      <w:pPr>
        <w:numPr>
          <w:ilvl w:val="0"/>
          <w:numId w:val="20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周期校准服务单价</w:t>
      </w:r>
    </w:p>
    <w:p>
      <w:pPr>
        <w:numPr>
          <w:ilvl w:val="0"/>
          <w:numId w:val="20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税费（注明税率）</w:t>
      </w:r>
    </w:p>
    <w:p>
      <w:pPr>
        <w:numPr>
          <w:ilvl w:val="0"/>
          <w:numId w:val="20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总价（含税）</w:t>
      </w:r>
    </w:p>
    <w:p>
      <w:pPr>
        <w:pStyle w:val="0000c5"/>
        <w:spacing w:before="380" w:after="140" w:line="288" w:lineRule="auto"/>
        <w:ind w:left="0"/>
        <w:jc w:val="left"/>
        <w:outlineLvl w:val="0"/>
        <w:rPr/>
      </w:pPr>
      <w:bookmarkStart w:id="48" w:name="heading_47"/>
      <w:r>
        <w:rPr>
          <w:rFonts w:ascii="Arial" w:hAnsi="Arial" w:eastAsia="等线" w:cs="Arial"/>
          <w:color w:val="3370ff"/>
          <w:sz w:val="36"/>
        </w:rPr>
        <w:t xml:space="preserve">14. </w:t>
      </w:r>
      <w:r>
        <w:rPr>
          <w:rFonts w:ascii="Arial" w:hAnsi="Arial" w:eastAsia="等线" w:cs="Arial"/>
          <w:b/>
          <w:sz w:val="36"/>
        </w:rPr>
        <w:t>其他要求</w:t>
      </w:r>
      <w:bookmarkEnd w:id="48"/>
    </w:p>
    <w:p>
      <w:pPr>
        <w:numPr>
          <w:ilvl w:val="0"/>
          <w:numId w:val="21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本SOR中"必须"项为否决项，不满足将导致投标/报价被拒绝；"推荐"项为加分项，将作为技术评审的参考因素。</w:t>
      </w:r>
    </w:p>
    <w:p>
      <w:pPr>
        <w:numPr>
          <w:ilvl w:val="0"/>
          <w:numId w:val="21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供应商须对本SOR各项要求逐条响应，明确说明"满足""不满足"或"部分满足"，并提供技术参数证明材料（如产品手册、检测报告、校准证书等）。</w:t>
      </w:r>
    </w:p>
    <w:p>
      <w:pPr>
        <w:numPr>
          <w:ilvl w:val="0"/>
          <w:numId w:val="21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供应商如对本SOR有偏离，须在偏离表中逐条列明，并说明偏离原因及替代方案。</w:t>
      </w:r>
    </w:p>
    <w:p>
      <w:pPr>
        <w:numPr>
          <w:ilvl w:val="0"/>
          <w:numId w:val="21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本SOR未尽事宜，由供需双方在合同中另行约定。</w:t>
      </w:r>
    </w:p>
    <w:p>
      <w:pPr>
        <w:numPr>
          <w:ilvl w:val="0"/>
          <w:numId w:val="21"/>
        </w:numPr>
        <w:spacing w:before="120" w:after="120" w:line="288" w:lineRule="auto"/>
        <w:jc w:val="left"/>
        <w:rPr/>
      </w:pPr>
      <w:r>
        <w:rPr>
          <w:rFonts w:ascii="Arial" w:hAnsi="Arial" w:eastAsia="等线" w:cs="Arial"/>
          <w:sz w:val="22"/>
        </w:rPr>
        <w:t>本SOR的解释权归采购方所有。</w:t>
      </w:r>
    </w:p>
    <w:p>
      <w:pPr>
        <w:spacing w:before="120" w:after="120" w:line="288" w:lineRule="auto"/>
        <w:ind w:left="0"/>
        <w:jc w:val="left"/>
        <w:rPr/>
      </w:pPr>
    </w:p>
    <w:sectPr>
      <w:headerReference r:id="rId4" w:type="default"/>
      <w:footerReference r:id="rId5" w:type="default"/>
      <w:pgSz w:w="11905" w:h="16840" w:orient="portrait"/>
    </w:sectPr>
  </w:body>
</w:document>
</file>

<file path=word/fontTable.xml><?xml version="1.0" encoding="utf-8"?>
<w:fonts xmlns:w="http://schemas.openxmlformats.org/wordprocessingml/2006/main"/>
</file>

<file path=word/footer1.xml><?xml version="1.0" encoding="utf-8"?>
<w:ftr xmlns:w="http://schemas.openxmlformats.org/wordprocessingml/2006/main">
  <w:p>
    <w:pPr>
      <w:rPr/>
    </w:pPr>
  </w:p>
</w:ftr>
</file>

<file path=word/header1.xml><?xml version="1.0" encoding="utf-8"?>
<w:hdr xmlns:w="http://schemas.openxmlformats.org/wordprocessingml/2006/main">
  <w:p>
    <w:pPr>
      <w:rPr/>
    </w:pPr>
  </w:p>
</w:hdr>
</file>

<file path=word/numbering.xml><?xml version="1.0" encoding="utf-8"?>
<w:numbering xmlns:w="http://schemas.openxmlformats.org/wordprocessingml/2006/main">
  <w:abstractNum w:abstractNumId="1"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  <w:spacing w:val="0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</w:abstractNum>
  <w:abstractNum w:abstractNumId="2"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  <w:spacing w:val="0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</w:abstractNum>
  <w:abstractNum w:abstractNumId="3"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  <w:spacing w:val="0"/>
      </w:rPr>
    </w:lvl>
  </w:abstractNum>
  <w:abstractNum w:abstractNumId="4"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  <w:spacing w:val="0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</w:abstractNum>
  <w:abstractNum w:abstractNumId="5"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  <w:spacing w:val="0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</w:abstractNum>
  <w:abstractNum w:abstractNumId="6"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  <w:spacing w:val="0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</w:abstractNum>
  <w:abstractNum w:abstractNumId="7"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  <w:spacing w:val="0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</w:abstractNum>
  <w:abstractNum w:abstractNumId="8"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  <w:spacing w:val="0"/>
      </w:rPr>
    </w:lvl>
  </w:abstractNum>
  <w:abstractNum w:abstractNumId="9"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  <w:spacing w:val="0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</w:abstractNum>
  <w:abstractNum w:abstractNumId="10"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  <w:spacing w:val="0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</w:abstractNum>
  <w:abstractNum w:abstractNumId="11"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  <w:spacing w:val="0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</w:abstractNum>
  <w:abstractNum w:abstractNumId="12"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  <w:spacing w:val="0"/>
      </w:rPr>
    </w:lvl>
  </w:abstractNum>
  <w:abstractNum w:abstractNumId="13"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  <w:spacing w:val="0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</w:abstractNum>
  <w:abstractNum w:abstractNumId="14"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  <w:spacing w:val="0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</w:abstractNum>
  <w:abstractNum w:abstractNumId="15"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  <w:spacing w:val="0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</w:abstractNum>
  <w:abstractNum w:abstractNumId="16"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  <w:spacing w:val="0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</w:abstractNum>
  <w:abstractNum w:abstractNumId="17"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  <w:spacing w:val="0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</w:abstractNum>
  <w:abstractNum w:abstractNumId="18"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  <w:spacing w:val="0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</w:abstractNum>
  <w:abstractNum w:abstractNumId="19"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  <w:spacing w:val="0"/>
      </w:rPr>
    </w:lvl>
  </w:abstractNum>
  <w:abstractNum w:abstractNumId="20"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  <w:spacing w:val="0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</w:abstractNum>
  <w:abstractNum w:abstractNumId="21"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  <w:spacing w:val="0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</w:abstractNum>
  <w:num w:numId="3">
    <w:abstractNumId w:val="17"/>
  </w:num>
  <w:num w:numId="19">
    <w:abstractNumId w:val="2"/>
  </w:num>
  <w:num w:numId="14">
    <w:abstractNumId w:val="1"/>
  </w:num>
  <w:num w:numId="16">
    <w:abstractNumId w:val="6"/>
  </w:num>
  <w:num w:numId="13">
    <w:abstractNumId w:val="12"/>
  </w:num>
  <w:num w:numId="11">
    <w:abstractNumId w:val="13"/>
  </w:num>
  <w:num w:numId="10">
    <w:abstractNumId w:val="20"/>
  </w:num>
  <w:num w:numId="21">
    <w:abstractNumId w:val="15"/>
  </w:num>
  <w:num w:numId="6">
    <w:abstractNumId w:val="11"/>
  </w:num>
  <w:num w:numId="20">
    <w:abstractNumId w:val="10"/>
  </w:num>
  <w:num w:numId="1">
    <w:abstractNumId w:val="14"/>
  </w:num>
  <w:num w:numId="12">
    <w:abstractNumId w:val="3"/>
  </w:num>
  <w:num w:numId="4">
    <w:abstractNumId w:val="21"/>
  </w:num>
  <w:num w:numId="8">
    <w:abstractNumId w:val="8"/>
  </w:num>
  <w:num w:numId="5">
    <w:abstractNumId w:val="5"/>
  </w:num>
  <w:num w:numId="15">
    <w:abstractNumId w:val="16"/>
  </w:num>
  <w:num w:numId="7">
    <w:abstractNumId w:val="4"/>
  </w:num>
  <w:num w:numId="18">
    <w:abstractNumId w:val="19"/>
  </w:num>
  <w:num w:numId="17">
    <w:abstractNumId w:val="9"/>
  </w:num>
  <w:num w:numId="9">
    <w:abstractNumId w:val="18"/>
  </w:num>
  <w:num w:numId="2">
    <w:abstractNumId w:val="7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oter" Target="footer1.xml" /><Relationship Id="rId4" Type="http://schemas.openxmlformats.org/officeDocument/2006/relationships/header" Target="header1.xml" /><Relationship Id="rId3" Type="http://schemas.openxmlformats.org/officeDocument/2006/relationships/numbering" Target="numbering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2026-08-20T10:02:37Z</dcterms:created>
  <dcterms:modified xsi:type="dcterms:W3CDTF">2026-08-20T10:02:37Z</dcterms:modified>
</cp:coreProperties>
</file>